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93"/>
        <w:gridCol w:w="2551"/>
        <w:gridCol w:w="1290"/>
        <w:gridCol w:w="1403"/>
        <w:gridCol w:w="1418"/>
        <w:gridCol w:w="1417"/>
        <w:gridCol w:w="1390"/>
        <w:gridCol w:w="1445"/>
        <w:gridCol w:w="1418"/>
        <w:gridCol w:w="1559"/>
      </w:tblGrid>
      <w:tr w:rsidR="000E12AD" w:rsidRPr="000E12AD" w:rsidTr="00FD6C11">
        <w:trPr>
          <w:trHeight w:val="255"/>
        </w:trPr>
        <w:tc>
          <w:tcPr>
            <w:tcW w:w="14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2AD" w:rsidRPr="00393FF7" w:rsidRDefault="000E12AD" w:rsidP="000E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75D"/>
                <w:sz w:val="16"/>
                <w:szCs w:val="20"/>
                <w:lang w:eastAsia="pt-BR"/>
              </w:rPr>
            </w:pPr>
            <w:r w:rsidRPr="000E12AD">
              <w:rPr>
                <w:rFonts w:ascii="Times New Roman" w:eastAsia="Times New Roman" w:hAnsi="Times New Roman" w:cs="Times New Roman"/>
                <w:b/>
                <w:color w:val="17375D"/>
                <w:sz w:val="24"/>
                <w:szCs w:val="20"/>
                <w:lang w:eastAsia="pt-BR"/>
              </w:rPr>
              <w:t>INDICADORES TCU 2013</w:t>
            </w:r>
          </w:p>
        </w:tc>
      </w:tr>
      <w:tr w:rsidR="00393FF7" w:rsidRPr="000E12AD" w:rsidTr="00393FF7">
        <w:trPr>
          <w:trHeight w:val="31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75D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color w:val="17375D"/>
                <w:sz w:val="16"/>
                <w:szCs w:val="24"/>
                <w:lang w:eastAsia="pt-BR"/>
              </w:rPr>
              <w:t>COMPONENTES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75D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color w:val="17375D"/>
                <w:sz w:val="16"/>
                <w:szCs w:val="24"/>
                <w:lang w:eastAsia="pt-BR"/>
              </w:rPr>
              <w:t>2006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75D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color w:val="17375D"/>
                <w:sz w:val="16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75D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color w:val="17375D"/>
                <w:sz w:val="16"/>
                <w:szCs w:val="24"/>
                <w:lang w:eastAsia="pt-BR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75D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color w:val="17375D"/>
                <w:sz w:val="16"/>
                <w:szCs w:val="24"/>
                <w:lang w:eastAsia="pt-BR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75D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color w:val="17375D"/>
                <w:sz w:val="16"/>
                <w:szCs w:val="24"/>
                <w:lang w:eastAsia="pt-BR"/>
              </w:rPr>
              <w:t>2010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75D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color w:val="17375D"/>
                <w:sz w:val="16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75D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color w:val="17375D"/>
                <w:sz w:val="16"/>
                <w:szCs w:val="24"/>
                <w:lang w:eastAsia="pt-BR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75D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color w:val="17375D"/>
                <w:sz w:val="16"/>
                <w:szCs w:val="24"/>
                <w:lang w:eastAsia="pt-BR"/>
              </w:rPr>
              <w:t>2013</w:t>
            </w:r>
          </w:p>
        </w:tc>
      </w:tr>
      <w:tr w:rsidR="00393FF7" w:rsidRPr="000E12AD" w:rsidTr="000E12AD">
        <w:trPr>
          <w:trHeight w:val="5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9.1.1.2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Custo Corrente Excluindo as Despesas do Hospital Universitário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98.748.647,05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112.536.109,16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136.094.377,68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170.133.299,00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195.488.644,80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216.469.996,00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242.986.841,23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269.461.214,87</w:t>
            </w:r>
          </w:p>
        </w:tc>
      </w:tr>
      <w:tr w:rsidR="00393FF7" w:rsidRPr="000E12AD" w:rsidTr="00393FF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9.1.1.3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Número de Alunos Tempo Integral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4.642,20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5.037,40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4.758,10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6.546,00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7.323,50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7.897,70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6.924,69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10.487,60</w:t>
            </w:r>
          </w:p>
        </w:tc>
      </w:tr>
      <w:tr w:rsidR="00393FF7" w:rsidRPr="000E12AD" w:rsidTr="00393FF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9.1.1.3.1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Número de Alunos Equivalentes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10.487,20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12.640,90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10.064,50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13.575,20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15.526,80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14.867,60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13.389,65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17.160,41</w:t>
            </w:r>
          </w:p>
        </w:tc>
      </w:tr>
      <w:tr w:rsidR="00393FF7" w:rsidRPr="000E12AD" w:rsidTr="000E12AD">
        <w:trPr>
          <w:trHeight w:val="4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9.1.1.4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Número de Professores Equivalentes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557,00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599,50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682,00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803,00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872,50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0E12AD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1.047</w:t>
            </w: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,00</w:t>
            </w:r>
          </w:p>
        </w:tc>
      </w:tr>
      <w:tr w:rsidR="00393FF7" w:rsidRPr="000E12AD" w:rsidTr="000E12AD">
        <w:trPr>
          <w:trHeight w:val="7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9.1.1.6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Número de Funcionários Equivalentes Excluindo aqueles a Serviço no Hospital Universitário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1.084,00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1.097,50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1.148,70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1.176,00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1.217,50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1.477,75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ind w:hanging="14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1.465,25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1.660,25</w:t>
            </w:r>
          </w:p>
        </w:tc>
      </w:tr>
      <w:tr w:rsidR="00393FF7" w:rsidRPr="000E12AD" w:rsidTr="000E12AD">
        <w:trPr>
          <w:trHeight w:val="5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9.1.2.1.1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 xml:space="preserve">Custo Corrente / Aluno Equivalente (Excluindo 100% das Despesas do HU)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8.390,42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8.902,53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11.619,58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11.257,26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11.260,67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13.000,73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15.315,28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15.702,49</w:t>
            </w:r>
          </w:p>
        </w:tc>
      </w:tr>
      <w:tr w:rsidR="00393FF7" w:rsidRPr="000E12AD" w:rsidTr="000E12AD">
        <w:trPr>
          <w:trHeight w:val="4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9.1.2.2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Aluno Tempo Integral / Número de Professores Equivalentes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10,63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10,06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10,49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0E12AD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10,02</w:t>
            </w:r>
          </w:p>
        </w:tc>
      </w:tr>
      <w:tr w:rsidR="00393FF7" w:rsidRPr="000E12AD" w:rsidTr="000E12AD">
        <w:trPr>
          <w:trHeight w:val="8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9.1.2.3.1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 xml:space="preserve">Aluno Tempo Integral / Número de Funcionários Equivalentes (Excluindo Funcionários a Serviço no Hospital Universitário)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5,46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5,91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5,60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6,87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7,50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6,54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6,32</w:t>
            </w:r>
          </w:p>
        </w:tc>
      </w:tr>
      <w:tr w:rsidR="00393FF7" w:rsidRPr="000E12AD" w:rsidTr="000E12AD">
        <w:trPr>
          <w:trHeight w:val="8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9.1.2.4.1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Funcionário Equivalente / Número de Professores Equivalentes (Excluindo Funcionários a Serviço no Hospital Universitário)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1,94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1,39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0E12AD" w:rsidP="000E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0E12AD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1,59</w:t>
            </w:r>
          </w:p>
        </w:tc>
      </w:tr>
      <w:tr w:rsidR="00393FF7" w:rsidRPr="000E12AD" w:rsidTr="000E12AD">
        <w:trPr>
          <w:trHeight w:val="4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9.1.2.5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Grau de Participação Estudantil (GPE)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0,73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0,73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0,74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0,83</w:t>
            </w:r>
          </w:p>
        </w:tc>
      </w:tr>
      <w:tr w:rsidR="00393FF7" w:rsidRPr="000E12AD" w:rsidTr="000E12AD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9.1.2.6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Grau de Envolvimento com Pós-Graduação (GEPG)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0,09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0,08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0,07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0,08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0,12</w:t>
            </w:r>
          </w:p>
        </w:tc>
      </w:tr>
      <w:tr w:rsidR="00393FF7" w:rsidRPr="000E12AD" w:rsidTr="00393FF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9.1.2.7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proofErr w:type="gramStart"/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Conceito CAPES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3,72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3,82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3,97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3,91</w:t>
            </w:r>
          </w:p>
        </w:tc>
      </w:tr>
      <w:tr w:rsidR="00393FF7" w:rsidRPr="000E12AD" w:rsidTr="000E12AD">
        <w:trPr>
          <w:trHeight w:val="51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9.1.2.8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Índice de Qualificação do Corpo Docente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3,94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4,07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4,16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4,25</w:t>
            </w:r>
          </w:p>
        </w:tc>
      </w:tr>
      <w:tr w:rsidR="00393FF7" w:rsidRPr="000E12AD" w:rsidTr="00393FF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9.1.2.9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t-BR"/>
              </w:rPr>
              <w:t>Taxa de Sucesso na Graduação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61,00%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58,49%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57,73%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51,40%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50,11%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3FF7" w:rsidRPr="00393FF7" w:rsidRDefault="00393FF7" w:rsidP="0039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393FF7">
              <w:rPr>
                <w:rFonts w:ascii="Times New Roman" w:eastAsia="Times New Roman" w:hAnsi="Times New Roman" w:cs="Times New Roman"/>
                <w:sz w:val="16"/>
                <w:szCs w:val="24"/>
                <w:highlight w:val="yellow"/>
                <w:lang w:eastAsia="pt-BR"/>
              </w:rPr>
              <w:t>43,11%</w:t>
            </w:r>
          </w:p>
        </w:tc>
      </w:tr>
    </w:tbl>
    <w:p w:rsidR="00DC0440" w:rsidRDefault="00DC0440"/>
    <w:sectPr w:rsidR="00DC0440" w:rsidSect="00393FF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393FF7"/>
    <w:rsid w:val="000E12AD"/>
    <w:rsid w:val="0036231F"/>
    <w:rsid w:val="00393FF7"/>
    <w:rsid w:val="00DC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2014-02-03T15:10:00Z</cp:lastPrinted>
  <dcterms:created xsi:type="dcterms:W3CDTF">2014-02-03T14:57:00Z</dcterms:created>
  <dcterms:modified xsi:type="dcterms:W3CDTF">2014-02-03T15:12:00Z</dcterms:modified>
</cp:coreProperties>
</file>