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4C2F" w14:textId="77777777" w:rsidR="001442EE" w:rsidRDefault="001442EE" w:rsidP="001442EE">
      <w:pPr>
        <w:tabs>
          <w:tab w:val="left" w:pos="3894"/>
        </w:tabs>
        <w:spacing w:before="0" w:after="0"/>
        <w:ind w:left="-284"/>
      </w:pPr>
    </w:p>
    <w:p w14:paraId="4EFC824C" w14:textId="38C1439E" w:rsidR="00092237" w:rsidRPr="00092237" w:rsidRDefault="00092237" w:rsidP="00092237">
      <w:pPr>
        <w:tabs>
          <w:tab w:val="left" w:pos="3894"/>
        </w:tabs>
        <w:spacing w:before="0" w:after="0"/>
        <w:jc w:val="center"/>
        <w:rPr>
          <w:b/>
        </w:rPr>
      </w:pPr>
      <w:r w:rsidRPr="00536604">
        <w:rPr>
          <w:b/>
          <w:color w:val="000000"/>
          <w:sz w:val="22"/>
          <w:szCs w:val="22"/>
        </w:rPr>
        <w:t xml:space="preserve">Estrutura geral do Relatório de Gestão </w:t>
      </w:r>
      <w:r>
        <w:rPr>
          <w:b/>
          <w:color w:val="000000"/>
          <w:sz w:val="22"/>
          <w:szCs w:val="22"/>
        </w:rPr>
        <w:t xml:space="preserve">– </w:t>
      </w:r>
      <w:r w:rsidR="001641AD">
        <w:rPr>
          <w:b/>
          <w:color w:val="000000"/>
          <w:sz w:val="22"/>
          <w:szCs w:val="22"/>
        </w:rPr>
        <w:t>anexo II</w:t>
      </w:r>
      <w:r>
        <w:rPr>
          <w:b/>
          <w:color w:val="000000"/>
          <w:sz w:val="22"/>
          <w:szCs w:val="22"/>
        </w:rPr>
        <w:t xml:space="preserve"> </w:t>
      </w:r>
      <w:r w:rsidR="001641AD">
        <w:rPr>
          <w:b/>
          <w:color w:val="000000"/>
          <w:sz w:val="22"/>
          <w:szCs w:val="22"/>
        </w:rPr>
        <w:t xml:space="preserve">da </w:t>
      </w:r>
      <w:r>
        <w:rPr>
          <w:b/>
          <w:color w:val="000000"/>
          <w:sz w:val="22"/>
          <w:szCs w:val="22"/>
        </w:rPr>
        <w:t>DN</w:t>
      </w:r>
      <w:r w:rsidR="001641AD">
        <w:rPr>
          <w:b/>
          <w:color w:val="000000"/>
          <w:sz w:val="22"/>
          <w:szCs w:val="22"/>
        </w:rPr>
        <w:t xml:space="preserve"> 170/2018</w:t>
      </w:r>
      <w:r>
        <w:rPr>
          <w:b/>
          <w:color w:val="000000"/>
          <w:sz w:val="22"/>
          <w:szCs w:val="22"/>
        </w:rPr>
        <w:t>, portaria TCU e sistema e-Contas</w:t>
      </w:r>
    </w:p>
    <w:p w14:paraId="481F8BFB" w14:textId="77777777" w:rsidR="00311BCE" w:rsidRDefault="00311BCE" w:rsidP="001442EE">
      <w:pPr>
        <w:tabs>
          <w:tab w:val="left" w:pos="3894"/>
        </w:tabs>
        <w:spacing w:before="0" w:after="0"/>
        <w:ind w:left="-284"/>
      </w:pPr>
    </w:p>
    <w:tbl>
      <w:tblPr>
        <w:tblStyle w:val="Tabelacomgrade"/>
        <w:tblW w:w="15309" w:type="dxa"/>
        <w:tblInd w:w="-5" w:type="dxa"/>
        <w:tblLook w:val="04A0" w:firstRow="1" w:lastRow="0" w:firstColumn="1" w:lastColumn="0" w:noHBand="0" w:noVBand="1"/>
      </w:tblPr>
      <w:tblGrid>
        <w:gridCol w:w="4536"/>
        <w:gridCol w:w="5103"/>
        <w:gridCol w:w="5670"/>
      </w:tblGrid>
      <w:tr w:rsidR="00311BCE" w:rsidRPr="00536604" w14:paraId="331D7B90" w14:textId="77777777" w:rsidTr="001641AD">
        <w:trPr>
          <w:tblHeader/>
        </w:trPr>
        <w:tc>
          <w:tcPr>
            <w:tcW w:w="4536" w:type="dxa"/>
            <w:shd w:val="clear" w:color="auto" w:fill="8DB3E2" w:themeFill="text2" w:themeFillTint="66"/>
            <w:vAlign w:val="center"/>
          </w:tcPr>
          <w:p w14:paraId="7D49E503" w14:textId="072004E0" w:rsidR="00311BCE" w:rsidRPr="00536604" w:rsidRDefault="00311BCE" w:rsidP="001641AD">
            <w:pPr>
              <w:jc w:val="both"/>
              <w:rPr>
                <w:b/>
                <w:color w:val="000000"/>
                <w:sz w:val="22"/>
                <w:szCs w:val="22"/>
              </w:rPr>
            </w:pPr>
            <w:r w:rsidRPr="00536604">
              <w:rPr>
                <w:b/>
                <w:sz w:val="22"/>
                <w:szCs w:val="22"/>
              </w:rPr>
              <w:t>Anexo II d</w:t>
            </w:r>
            <w:r w:rsidR="001641AD">
              <w:rPr>
                <w:b/>
                <w:sz w:val="22"/>
                <w:szCs w:val="22"/>
              </w:rPr>
              <w:t>a D</w:t>
            </w:r>
            <w:r w:rsidRPr="00536604">
              <w:rPr>
                <w:b/>
                <w:sz w:val="22"/>
                <w:szCs w:val="22"/>
              </w:rPr>
              <w:t xml:space="preserve">ecisão </w:t>
            </w:r>
            <w:r w:rsidR="001641AD">
              <w:rPr>
                <w:b/>
                <w:sz w:val="22"/>
                <w:szCs w:val="22"/>
              </w:rPr>
              <w:t>N</w:t>
            </w:r>
            <w:r w:rsidRPr="00536604">
              <w:rPr>
                <w:b/>
                <w:sz w:val="22"/>
                <w:szCs w:val="22"/>
              </w:rPr>
              <w:t>ormativa</w:t>
            </w:r>
            <w:r w:rsidR="001641AD">
              <w:rPr>
                <w:b/>
                <w:sz w:val="22"/>
                <w:szCs w:val="22"/>
              </w:rPr>
              <w:t xml:space="preserve"> TCU 170/2018</w:t>
            </w:r>
            <w:r w:rsidRPr="00536604">
              <w:rPr>
                <w:b/>
                <w:sz w:val="22"/>
                <w:szCs w:val="22"/>
              </w:rPr>
              <w:t xml:space="preserve"> </w:t>
            </w:r>
          </w:p>
        </w:tc>
        <w:tc>
          <w:tcPr>
            <w:tcW w:w="5103" w:type="dxa"/>
            <w:shd w:val="clear" w:color="auto" w:fill="C6D9F1" w:themeFill="text2" w:themeFillTint="33"/>
            <w:vAlign w:val="center"/>
          </w:tcPr>
          <w:p w14:paraId="16E39336" w14:textId="5631BF94" w:rsidR="00311BCE" w:rsidRPr="00536604" w:rsidRDefault="007919EC" w:rsidP="00997344">
            <w:pPr>
              <w:jc w:val="center"/>
              <w:rPr>
                <w:b/>
                <w:color w:val="000000"/>
                <w:sz w:val="22"/>
                <w:szCs w:val="22"/>
              </w:rPr>
            </w:pPr>
            <w:proofErr w:type="spellStart"/>
            <w:r>
              <w:rPr>
                <w:b/>
                <w:color w:val="000000"/>
                <w:sz w:val="22"/>
                <w:szCs w:val="22"/>
              </w:rPr>
              <w:t>C</w:t>
            </w:r>
            <w:r w:rsidR="00311BCE" w:rsidRPr="00536604">
              <w:rPr>
                <w:b/>
                <w:color w:val="000000"/>
                <w:sz w:val="22"/>
                <w:szCs w:val="22"/>
              </w:rPr>
              <w:t>onteúdo</w:t>
            </w:r>
            <w:r>
              <w:rPr>
                <w:b/>
                <w:color w:val="000000"/>
                <w:sz w:val="22"/>
                <w:szCs w:val="22"/>
              </w:rPr>
              <w:t>s</w:t>
            </w:r>
            <w:proofErr w:type="spellEnd"/>
            <w:r w:rsidR="00311BCE" w:rsidRPr="00536604">
              <w:rPr>
                <w:b/>
                <w:color w:val="000000"/>
                <w:sz w:val="22"/>
                <w:szCs w:val="22"/>
              </w:rPr>
              <w:t xml:space="preserve"> do relatório de gestão para serem detalhados na portaria TCU </w:t>
            </w:r>
          </w:p>
        </w:tc>
        <w:tc>
          <w:tcPr>
            <w:tcW w:w="5670" w:type="dxa"/>
            <w:shd w:val="clear" w:color="auto" w:fill="C6D9F1" w:themeFill="text2" w:themeFillTint="33"/>
          </w:tcPr>
          <w:p w14:paraId="3393407B" w14:textId="77777777" w:rsidR="00311BCE" w:rsidRPr="00536604" w:rsidRDefault="00311BCE" w:rsidP="00B57699">
            <w:pPr>
              <w:jc w:val="center"/>
              <w:rPr>
                <w:b/>
                <w:color w:val="000000"/>
                <w:sz w:val="22"/>
                <w:szCs w:val="22"/>
              </w:rPr>
            </w:pPr>
            <w:r w:rsidRPr="00536604">
              <w:rPr>
                <w:b/>
                <w:color w:val="000000"/>
                <w:sz w:val="22"/>
                <w:szCs w:val="22"/>
              </w:rPr>
              <w:t>Orientações adicionais a serem incluídas no sistema e-Contas</w:t>
            </w:r>
          </w:p>
        </w:tc>
      </w:tr>
      <w:tr w:rsidR="00311BCE" w:rsidRPr="00536604" w14:paraId="55AECB67" w14:textId="77777777" w:rsidTr="00BE22E0">
        <w:tc>
          <w:tcPr>
            <w:tcW w:w="4536" w:type="dxa"/>
            <w:shd w:val="clear" w:color="auto" w:fill="FFFFFF" w:themeFill="background1"/>
          </w:tcPr>
          <w:p w14:paraId="0D1A04BA" w14:textId="77777777" w:rsidR="00311BCE" w:rsidRPr="00536604" w:rsidRDefault="00311BCE" w:rsidP="00B57699">
            <w:pPr>
              <w:rPr>
                <w:b/>
                <w:color w:val="000000"/>
                <w:sz w:val="22"/>
                <w:szCs w:val="22"/>
              </w:rPr>
            </w:pPr>
            <w:r w:rsidRPr="00536604">
              <w:rPr>
                <w:b/>
                <w:color w:val="000000"/>
                <w:sz w:val="22"/>
                <w:szCs w:val="22"/>
              </w:rPr>
              <w:t xml:space="preserve">Elementos </w:t>
            </w:r>
            <w:proofErr w:type="spellStart"/>
            <w:r w:rsidRPr="00536604">
              <w:rPr>
                <w:b/>
                <w:color w:val="000000"/>
                <w:sz w:val="22"/>
                <w:szCs w:val="22"/>
              </w:rPr>
              <w:t>pré</w:t>
            </w:r>
            <w:proofErr w:type="spellEnd"/>
            <w:r w:rsidRPr="00536604">
              <w:rPr>
                <w:b/>
                <w:color w:val="000000"/>
                <w:sz w:val="22"/>
                <w:szCs w:val="22"/>
              </w:rPr>
              <w:t xml:space="preserve">-textuais </w:t>
            </w:r>
          </w:p>
          <w:p w14:paraId="3A341D00" w14:textId="77777777" w:rsidR="00311BCE" w:rsidRPr="00536604" w:rsidRDefault="00311BCE" w:rsidP="00B57699">
            <w:pPr>
              <w:pStyle w:val="Textodecomentrio"/>
              <w:jc w:val="both"/>
              <w:rPr>
                <w:sz w:val="22"/>
                <w:szCs w:val="22"/>
              </w:rPr>
            </w:pPr>
            <w:r w:rsidRPr="00536604">
              <w:rPr>
                <w:sz w:val="22"/>
                <w:szCs w:val="22"/>
              </w:rPr>
              <w:t>Elementos que antecedem o conteúdo do relatório de gestão propriamente dito e que auxiliarão sua leitura pelos usuários das informações.</w:t>
            </w:r>
          </w:p>
          <w:p w14:paraId="7C496323" w14:textId="77777777" w:rsidR="00311BCE" w:rsidRPr="00536604" w:rsidRDefault="00311BCE" w:rsidP="00B57699">
            <w:pPr>
              <w:rPr>
                <w:b/>
                <w:color w:val="000000"/>
                <w:sz w:val="22"/>
                <w:szCs w:val="22"/>
              </w:rPr>
            </w:pPr>
          </w:p>
        </w:tc>
        <w:tc>
          <w:tcPr>
            <w:tcW w:w="5103" w:type="dxa"/>
            <w:shd w:val="clear" w:color="auto" w:fill="FFFFFF" w:themeFill="background1"/>
          </w:tcPr>
          <w:p w14:paraId="266D2343" w14:textId="77777777" w:rsidR="00311BCE" w:rsidRPr="00536604" w:rsidRDefault="00311BCE" w:rsidP="00B57699">
            <w:pPr>
              <w:rPr>
                <w:b/>
                <w:color w:val="000000"/>
                <w:sz w:val="22"/>
                <w:szCs w:val="22"/>
              </w:rPr>
            </w:pPr>
            <w:r w:rsidRPr="00536604">
              <w:rPr>
                <w:b/>
                <w:color w:val="000000"/>
                <w:sz w:val="22"/>
                <w:szCs w:val="22"/>
              </w:rPr>
              <w:t xml:space="preserve">Elementos </w:t>
            </w:r>
            <w:proofErr w:type="spellStart"/>
            <w:r w:rsidRPr="00536604">
              <w:rPr>
                <w:b/>
                <w:color w:val="000000"/>
                <w:sz w:val="22"/>
                <w:szCs w:val="22"/>
              </w:rPr>
              <w:t>pré</w:t>
            </w:r>
            <w:proofErr w:type="spellEnd"/>
            <w:r w:rsidRPr="00536604">
              <w:rPr>
                <w:b/>
                <w:color w:val="000000"/>
                <w:sz w:val="22"/>
                <w:szCs w:val="22"/>
              </w:rPr>
              <w:t xml:space="preserve">-textuais </w:t>
            </w:r>
          </w:p>
          <w:p w14:paraId="43EE8A65"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Capa</w:t>
            </w:r>
          </w:p>
          <w:p w14:paraId="3140225A"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Folha de rosto</w:t>
            </w:r>
          </w:p>
          <w:p w14:paraId="0472B27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siglas e abreviações</w:t>
            </w:r>
          </w:p>
          <w:p w14:paraId="3F360614"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tabelas, quadros, gráficos e figuras</w:t>
            </w:r>
          </w:p>
          <w:p w14:paraId="16940E9A"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anexos e apêndices</w:t>
            </w:r>
          </w:p>
          <w:p w14:paraId="4900DB8C" w14:textId="77777777" w:rsidR="00311BCE" w:rsidRPr="00536604" w:rsidRDefault="00311BCE" w:rsidP="00311BCE">
            <w:pPr>
              <w:pStyle w:val="PargrafodaLista"/>
              <w:numPr>
                <w:ilvl w:val="0"/>
                <w:numId w:val="20"/>
              </w:numPr>
              <w:ind w:left="318" w:hanging="284"/>
              <w:contextualSpacing w:val="0"/>
              <w:textAlignment w:val="bottom"/>
              <w:rPr>
                <w:b/>
                <w:color w:val="000000"/>
                <w:kern w:val="24"/>
                <w:sz w:val="22"/>
                <w:szCs w:val="22"/>
              </w:rPr>
            </w:pPr>
            <w:r w:rsidRPr="00536604">
              <w:rPr>
                <w:rFonts w:eastAsia="Calibri"/>
                <w:color w:val="000000"/>
                <w:kern w:val="24"/>
                <w:sz w:val="22"/>
                <w:szCs w:val="22"/>
                <w:lang w:eastAsia="en-US"/>
              </w:rPr>
              <w:t>Sumário</w:t>
            </w:r>
          </w:p>
        </w:tc>
        <w:tc>
          <w:tcPr>
            <w:tcW w:w="5670" w:type="dxa"/>
            <w:shd w:val="clear" w:color="auto" w:fill="FFFFFF" w:themeFill="background1"/>
          </w:tcPr>
          <w:p w14:paraId="6D297ACD" w14:textId="77777777" w:rsidR="00A53CF4" w:rsidRDefault="00A53CF4" w:rsidP="00A53CF4">
            <w:pPr>
              <w:jc w:val="both"/>
              <w:rPr>
                <w:color w:val="FF0000"/>
                <w:sz w:val="22"/>
                <w:szCs w:val="22"/>
              </w:rPr>
            </w:pPr>
          </w:p>
          <w:p w14:paraId="5B545815" w14:textId="273815A6" w:rsidR="00BE22E0" w:rsidRPr="00A53CF4" w:rsidRDefault="00BE22E0" w:rsidP="00A53CF4">
            <w:pPr>
              <w:jc w:val="both"/>
              <w:rPr>
                <w:color w:val="FF0000"/>
                <w:sz w:val="22"/>
                <w:szCs w:val="22"/>
              </w:rPr>
            </w:pPr>
            <w:r w:rsidRPr="00A53CF4">
              <w:rPr>
                <w:color w:val="FF0000"/>
                <w:sz w:val="22"/>
                <w:szCs w:val="22"/>
              </w:rPr>
              <w:t xml:space="preserve">ATENÇÃO: caso a unidade prestadora de contas (UPC) </w:t>
            </w:r>
            <w:r w:rsidR="00A53CF4" w:rsidRPr="00A53CF4">
              <w:rPr>
                <w:color w:val="FF0000"/>
                <w:sz w:val="22"/>
                <w:szCs w:val="22"/>
              </w:rPr>
              <w:t xml:space="preserve">não disponha de quaisquer das informações constante desta lista preliminar de conteúdo, ou por não ter implementado os processos de trabalho que lhe dão suporte, ou pela exigência não se aplicar à UPC em razão das suas características/condições de funcionamento, a justificativa pela </w:t>
            </w:r>
            <w:r w:rsidR="008B2FD1">
              <w:rPr>
                <w:color w:val="FF0000"/>
                <w:sz w:val="22"/>
                <w:szCs w:val="22"/>
              </w:rPr>
              <w:t>não inclusão da</w:t>
            </w:r>
            <w:r w:rsidR="00A53CF4" w:rsidRPr="00A53CF4">
              <w:rPr>
                <w:color w:val="FF0000"/>
                <w:sz w:val="22"/>
                <w:szCs w:val="22"/>
              </w:rPr>
              <w:t xml:space="preserve"> informaç</w:t>
            </w:r>
            <w:r w:rsidR="008B2FD1">
              <w:rPr>
                <w:color w:val="FF0000"/>
                <w:sz w:val="22"/>
                <w:szCs w:val="22"/>
              </w:rPr>
              <w:t>ão</w:t>
            </w:r>
            <w:r w:rsidR="00A53CF4" w:rsidRPr="00A53CF4">
              <w:rPr>
                <w:color w:val="FF0000"/>
                <w:sz w:val="22"/>
                <w:szCs w:val="22"/>
              </w:rPr>
              <w:t xml:space="preserve"> deverá constar do relatório</w:t>
            </w:r>
            <w:r w:rsidR="00874B50">
              <w:rPr>
                <w:color w:val="FF0000"/>
                <w:sz w:val="22"/>
                <w:szCs w:val="22"/>
              </w:rPr>
              <w:t xml:space="preserve"> de gestão</w:t>
            </w:r>
            <w:bookmarkStart w:id="0" w:name="_GoBack"/>
            <w:bookmarkEnd w:id="0"/>
            <w:r w:rsidRPr="00A53CF4">
              <w:rPr>
                <w:color w:val="FF0000"/>
                <w:sz w:val="22"/>
                <w:szCs w:val="22"/>
              </w:rPr>
              <w:t>.</w:t>
            </w:r>
          </w:p>
          <w:p w14:paraId="40F36D24" w14:textId="77777777" w:rsidR="00311BCE" w:rsidRPr="00536604" w:rsidRDefault="00311BCE" w:rsidP="00BE22E0">
            <w:pPr>
              <w:rPr>
                <w:color w:val="000000"/>
                <w:sz w:val="22"/>
                <w:szCs w:val="22"/>
              </w:rPr>
            </w:pPr>
          </w:p>
        </w:tc>
      </w:tr>
      <w:tr w:rsidR="00311BCE" w:rsidRPr="00536604" w14:paraId="76A4A3BB" w14:textId="77777777" w:rsidTr="00520362">
        <w:tc>
          <w:tcPr>
            <w:tcW w:w="4536" w:type="dxa"/>
            <w:shd w:val="clear" w:color="auto" w:fill="FFFFFF" w:themeFill="background1"/>
          </w:tcPr>
          <w:p w14:paraId="2DBE19A4" w14:textId="77777777" w:rsidR="00311BCE" w:rsidRPr="00536604" w:rsidRDefault="00311BCE" w:rsidP="00B57699">
            <w:pPr>
              <w:spacing w:after="60"/>
              <w:rPr>
                <w:b/>
                <w:color w:val="000000"/>
                <w:sz w:val="22"/>
                <w:szCs w:val="22"/>
              </w:rPr>
            </w:pPr>
            <w:r w:rsidRPr="00536604">
              <w:rPr>
                <w:b/>
                <w:color w:val="000000"/>
                <w:sz w:val="22"/>
                <w:szCs w:val="22"/>
              </w:rPr>
              <w:t xml:space="preserve">Mensagem do dirigente máximo da unidade </w:t>
            </w:r>
          </w:p>
          <w:p w14:paraId="70EA7FA4" w14:textId="77777777" w:rsidR="00311BCE" w:rsidRPr="00536604" w:rsidRDefault="00311BCE" w:rsidP="00B57699">
            <w:pPr>
              <w:pStyle w:val="Textodecomentrio"/>
              <w:jc w:val="both"/>
              <w:rPr>
                <w:sz w:val="22"/>
                <w:szCs w:val="22"/>
              </w:rPr>
            </w:pPr>
            <w:r w:rsidRPr="00536604">
              <w:rPr>
                <w:sz w:val="22"/>
                <w:szCs w:val="22"/>
              </w:rPr>
              <w:t>Apresentação sucinta do relatório de gestão, abordando especialmente sua estrutura e pontos da gestão do exercício que mereçam destaque, tais como um resumo dos principais resultados alcançados [UPC em números], para posterior detalhamento no corpo do relatório.</w:t>
            </w:r>
          </w:p>
          <w:p w14:paraId="6F2FB953" w14:textId="77777777" w:rsidR="00311BCE" w:rsidRPr="00536604" w:rsidRDefault="00311BCE" w:rsidP="00B57699">
            <w:pPr>
              <w:spacing w:after="60"/>
              <w:rPr>
                <w:b/>
                <w:color w:val="000000"/>
                <w:sz w:val="22"/>
                <w:szCs w:val="22"/>
              </w:rPr>
            </w:pPr>
          </w:p>
        </w:tc>
        <w:tc>
          <w:tcPr>
            <w:tcW w:w="5103" w:type="dxa"/>
            <w:shd w:val="clear" w:color="auto" w:fill="FFFFFF" w:themeFill="background1"/>
          </w:tcPr>
          <w:p w14:paraId="14E5A402" w14:textId="77777777" w:rsidR="00311BCE" w:rsidRPr="00536604" w:rsidRDefault="00311BCE" w:rsidP="00B57699">
            <w:pPr>
              <w:spacing w:after="60"/>
              <w:rPr>
                <w:b/>
                <w:color w:val="000000"/>
                <w:sz w:val="22"/>
                <w:szCs w:val="22"/>
              </w:rPr>
            </w:pPr>
            <w:r w:rsidRPr="00536604">
              <w:rPr>
                <w:b/>
                <w:color w:val="000000"/>
                <w:sz w:val="22"/>
                <w:szCs w:val="22"/>
              </w:rPr>
              <w:t xml:space="preserve">Mensagem do dirigente máximo da unidade </w:t>
            </w:r>
          </w:p>
          <w:p w14:paraId="48D1A822" w14:textId="77777777" w:rsidR="00311BCE" w:rsidRPr="00536604" w:rsidRDefault="00311BCE" w:rsidP="00311BCE">
            <w:pPr>
              <w:pStyle w:val="PargrafodaLista"/>
              <w:numPr>
                <w:ilvl w:val="0"/>
                <w:numId w:val="20"/>
              </w:numPr>
              <w:ind w:left="318" w:hanging="284"/>
              <w:contextualSpacing w:val="0"/>
              <w:jc w:val="both"/>
              <w:textAlignment w:val="bottom"/>
              <w:rPr>
                <w:b/>
                <w:color w:val="000000"/>
                <w:kern w:val="24"/>
                <w:sz w:val="22"/>
                <w:szCs w:val="22"/>
              </w:rPr>
            </w:pPr>
            <w:r w:rsidRPr="00536604">
              <w:rPr>
                <w:color w:val="000000"/>
                <w:kern w:val="24"/>
                <w:sz w:val="22"/>
                <w:szCs w:val="22"/>
              </w:rPr>
              <w:t>Resumo dos principais resultados alcançados pela unidade prestadora de contas (UPC) frente aos objetivos estratégicos e às prioridades da gestão.</w:t>
            </w:r>
          </w:p>
          <w:p w14:paraId="2E2BFE2A" w14:textId="77777777" w:rsidR="00311BCE" w:rsidRPr="00536604" w:rsidRDefault="00311BCE" w:rsidP="00B57699">
            <w:pPr>
              <w:ind w:left="34"/>
              <w:textAlignment w:val="bottom"/>
              <w:rPr>
                <w:b/>
                <w:color w:val="000000"/>
                <w:kern w:val="24"/>
                <w:sz w:val="22"/>
                <w:szCs w:val="22"/>
              </w:rPr>
            </w:pPr>
          </w:p>
        </w:tc>
        <w:tc>
          <w:tcPr>
            <w:tcW w:w="5670" w:type="dxa"/>
            <w:shd w:val="clear" w:color="auto" w:fill="FFFFFF" w:themeFill="background1"/>
          </w:tcPr>
          <w:p w14:paraId="68C2549E" w14:textId="77777777" w:rsidR="00311BCE" w:rsidRPr="00536604" w:rsidRDefault="00311BCE" w:rsidP="00B57699">
            <w:pPr>
              <w:spacing w:after="60"/>
              <w:rPr>
                <w:b/>
                <w:color w:val="000000"/>
                <w:sz w:val="22"/>
                <w:szCs w:val="22"/>
              </w:rPr>
            </w:pPr>
            <w:r w:rsidRPr="00536604">
              <w:rPr>
                <w:b/>
                <w:color w:val="000000"/>
                <w:sz w:val="22"/>
                <w:szCs w:val="22"/>
              </w:rPr>
              <w:t xml:space="preserve">Mensagem do dirigente máximo da unidade </w:t>
            </w:r>
          </w:p>
          <w:p w14:paraId="0235168E" w14:textId="77777777" w:rsidR="00311BCE" w:rsidRPr="00536604" w:rsidRDefault="00311BCE" w:rsidP="00B57699">
            <w:pPr>
              <w:spacing w:after="60"/>
              <w:jc w:val="both"/>
              <w:rPr>
                <w:sz w:val="22"/>
                <w:szCs w:val="22"/>
              </w:rPr>
            </w:pPr>
            <w:r w:rsidRPr="00536604">
              <w:rPr>
                <w:sz w:val="22"/>
                <w:szCs w:val="22"/>
              </w:rPr>
              <w:t>O objetivo da mensagem do dirigente máximo da unidade é fornecer uma visão geral sobre o desempenho de sua gestão.</w:t>
            </w:r>
          </w:p>
          <w:p w14:paraId="49AF014E"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59D1DE4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Missão institucional; </w:t>
            </w:r>
          </w:p>
          <w:p w14:paraId="63488169"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Objetivos estratégicos; </w:t>
            </w:r>
          </w:p>
          <w:p w14:paraId="6F99878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Prioridades da gestão; </w:t>
            </w:r>
          </w:p>
          <w:p w14:paraId="6FF09BC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resultados da gestão; </w:t>
            </w:r>
          </w:p>
          <w:p w14:paraId="7C9536C6"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Desafios e perspectivas. </w:t>
            </w:r>
          </w:p>
          <w:p w14:paraId="03633229" w14:textId="3CDEA4EF" w:rsidR="00311BCE" w:rsidRPr="00536604" w:rsidRDefault="00311BCE" w:rsidP="00B57699">
            <w:pPr>
              <w:spacing w:after="60"/>
              <w:jc w:val="both"/>
              <w:rPr>
                <w:b/>
                <w:color w:val="000000"/>
                <w:sz w:val="22"/>
                <w:szCs w:val="22"/>
              </w:rPr>
            </w:pPr>
            <w:r w:rsidRPr="00536604">
              <w:rPr>
                <w:b/>
                <w:color w:val="000000"/>
                <w:sz w:val="22"/>
                <w:szCs w:val="22"/>
              </w:rPr>
              <w:t>Forma</w:t>
            </w:r>
            <w:r w:rsidR="003F37AF">
              <w:rPr>
                <w:b/>
                <w:color w:val="000000"/>
                <w:sz w:val="22"/>
                <w:szCs w:val="22"/>
              </w:rPr>
              <w:t xml:space="preserve"> recomendada</w:t>
            </w:r>
          </w:p>
          <w:p w14:paraId="0F87F57C" w14:textId="06E51EDE" w:rsidR="00311BCE" w:rsidRPr="00536604" w:rsidRDefault="008B2FD1"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 xml:space="preserve">Máximo </w:t>
            </w:r>
            <w:r w:rsidR="00311BCE" w:rsidRPr="00536604">
              <w:rPr>
                <w:rFonts w:eastAsia="Calibri"/>
                <w:color w:val="000000"/>
                <w:kern w:val="24"/>
                <w:sz w:val="22"/>
                <w:szCs w:val="22"/>
                <w:lang w:eastAsia="en-US"/>
              </w:rPr>
              <w:t>2 páginas;</w:t>
            </w:r>
          </w:p>
          <w:p w14:paraId="6DE15E6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Infográfico com os principais números do resultado da gestão;</w:t>
            </w:r>
          </w:p>
          <w:p w14:paraId="79F06744"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Foto do dirigente máximo da unidade;</w:t>
            </w:r>
          </w:p>
          <w:p w14:paraId="16B69CA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Assinatura do dirigente máximo da unidade.</w:t>
            </w:r>
          </w:p>
        </w:tc>
      </w:tr>
      <w:tr w:rsidR="00311BCE" w:rsidRPr="00536604" w14:paraId="4377F6A6" w14:textId="77777777" w:rsidTr="00520362">
        <w:tc>
          <w:tcPr>
            <w:tcW w:w="4536" w:type="dxa"/>
            <w:shd w:val="clear" w:color="auto" w:fill="FFFFFF" w:themeFill="background1"/>
          </w:tcPr>
          <w:p w14:paraId="252A40CF" w14:textId="77777777" w:rsidR="00311BCE" w:rsidRPr="00536604" w:rsidRDefault="00311BCE" w:rsidP="00B57699">
            <w:pPr>
              <w:jc w:val="both"/>
              <w:rPr>
                <w:b/>
                <w:sz w:val="22"/>
                <w:szCs w:val="22"/>
              </w:rPr>
            </w:pPr>
            <w:r w:rsidRPr="00536604">
              <w:rPr>
                <w:b/>
                <w:sz w:val="22"/>
                <w:szCs w:val="22"/>
              </w:rPr>
              <w:lastRenderedPageBreak/>
              <w:t>Visão geral organizacional e ambiente externo</w:t>
            </w:r>
          </w:p>
          <w:p w14:paraId="6105130C" w14:textId="77777777" w:rsidR="00311BCE" w:rsidRPr="00536604" w:rsidRDefault="00311BCE" w:rsidP="00B57699">
            <w:pPr>
              <w:spacing w:after="60"/>
              <w:jc w:val="both"/>
              <w:textAlignment w:val="bottom"/>
              <w:rPr>
                <w:b/>
                <w:sz w:val="22"/>
                <w:szCs w:val="22"/>
              </w:rPr>
            </w:pPr>
            <w:r w:rsidRPr="00536604">
              <w:rPr>
                <w:sz w:val="22"/>
                <w:szCs w:val="22"/>
              </w:rPr>
              <w:t>Apresentação das informações que identificam a unidade prestadora da conta (missão e visão), estrutura organizacional, ambiente externo em que atua e modelo de negócios.</w:t>
            </w:r>
          </w:p>
        </w:tc>
        <w:tc>
          <w:tcPr>
            <w:tcW w:w="5103" w:type="dxa"/>
            <w:shd w:val="clear" w:color="auto" w:fill="FFFFFF" w:themeFill="background1"/>
          </w:tcPr>
          <w:p w14:paraId="1AB8A900" w14:textId="77777777" w:rsidR="00311BCE" w:rsidRPr="00536604" w:rsidRDefault="00311BCE" w:rsidP="00B57699">
            <w:pPr>
              <w:spacing w:after="60"/>
              <w:jc w:val="both"/>
              <w:textAlignment w:val="bottom"/>
              <w:rPr>
                <w:b/>
                <w:sz w:val="22"/>
                <w:szCs w:val="22"/>
              </w:rPr>
            </w:pPr>
            <w:r w:rsidRPr="00536604">
              <w:rPr>
                <w:b/>
                <w:sz w:val="22"/>
                <w:szCs w:val="22"/>
              </w:rPr>
              <w:t xml:space="preserve">Visão geral organizacional e ambiente externo </w:t>
            </w:r>
          </w:p>
          <w:p w14:paraId="39381F38" w14:textId="77777777" w:rsidR="00311BCE" w:rsidRPr="00536604" w:rsidRDefault="00311BCE" w:rsidP="00B57699">
            <w:pPr>
              <w:jc w:val="both"/>
              <w:textAlignment w:val="bottom"/>
              <w:rPr>
                <w:i/>
                <w:sz w:val="22"/>
                <w:szCs w:val="22"/>
              </w:rPr>
            </w:pPr>
            <w:r w:rsidRPr="00536604">
              <w:rPr>
                <w:i/>
                <w:sz w:val="22"/>
                <w:szCs w:val="22"/>
              </w:rPr>
              <w:t>O que a UPC faz e quais são as circunstâncias em que ela atua?</w:t>
            </w:r>
          </w:p>
          <w:p w14:paraId="3912865B"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Identificação da UPC e declaração da sua missão e visão</w:t>
            </w:r>
          </w:p>
          <w:p w14:paraId="16B910D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Composição acionária do capital social </w:t>
            </w:r>
          </w:p>
          <w:p w14:paraId="54C7383B"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Participação em outras sociedades </w:t>
            </w:r>
          </w:p>
          <w:p w14:paraId="79C5178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Estrutura organizacional</w:t>
            </w:r>
          </w:p>
          <w:p w14:paraId="1923BB8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Ambiente externo </w:t>
            </w:r>
          </w:p>
          <w:p w14:paraId="0ADE1A1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Modelo de negócios (cadeia de valor)</w:t>
            </w:r>
          </w:p>
        </w:tc>
        <w:tc>
          <w:tcPr>
            <w:tcW w:w="5670" w:type="dxa"/>
            <w:shd w:val="clear" w:color="auto" w:fill="FFFFFF" w:themeFill="background1"/>
          </w:tcPr>
          <w:p w14:paraId="059AA07F" w14:textId="77777777" w:rsidR="00311BCE" w:rsidRPr="00536604" w:rsidRDefault="00311BCE" w:rsidP="00B57699">
            <w:pPr>
              <w:spacing w:after="60"/>
              <w:jc w:val="both"/>
              <w:textAlignment w:val="bottom"/>
              <w:rPr>
                <w:b/>
                <w:sz w:val="22"/>
                <w:szCs w:val="22"/>
              </w:rPr>
            </w:pPr>
            <w:r w:rsidRPr="00536604">
              <w:rPr>
                <w:b/>
                <w:sz w:val="22"/>
                <w:szCs w:val="22"/>
              </w:rPr>
              <w:t xml:space="preserve">Visão geral organizacional e ambiente externo </w:t>
            </w:r>
          </w:p>
          <w:p w14:paraId="180BE2F5" w14:textId="77777777" w:rsidR="00311BCE" w:rsidRPr="00536604" w:rsidRDefault="00311BCE" w:rsidP="00B57699">
            <w:pPr>
              <w:autoSpaceDE w:val="0"/>
              <w:autoSpaceDN w:val="0"/>
              <w:adjustRightInd w:val="0"/>
              <w:jc w:val="both"/>
              <w:rPr>
                <w:sz w:val="22"/>
                <w:szCs w:val="22"/>
              </w:rPr>
            </w:pPr>
            <w:r w:rsidRPr="00536604">
              <w:rPr>
                <w:sz w:val="22"/>
                <w:szCs w:val="22"/>
              </w:rPr>
              <w:t>O objetivo do capítulo é demonstrar a finalidade e a forma de atuação da UPC, quem é a liderança e a influência do cenário externo e interno no seu desempenho.</w:t>
            </w:r>
          </w:p>
          <w:p w14:paraId="1B0E9B09"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1A5E6D6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Mensagem clara sobre missão e visão;</w:t>
            </w:r>
          </w:p>
          <w:p w14:paraId="0B11370A"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Estrutura organizacional</w:t>
            </w:r>
          </w:p>
          <w:p w14:paraId="2E792E2F"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Ambiente externo </w:t>
            </w:r>
          </w:p>
          <w:p w14:paraId="79ED99B6"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Eventos nacionais e internacionais que impactaram a gestão, indicadores sociais e econômicos referentes à área de atuação da UPC e identificação clara de oportunidades e ameaças.</w:t>
            </w:r>
          </w:p>
          <w:p w14:paraId="2B2ED6C0"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Esses eventos podem ter como origem, por exemplo, condições econômicas, mudanças tecnológicas, temas da sociedade e desafios ambientais que afetam a capacidade da UPC </w:t>
            </w:r>
            <w:r w:rsidRPr="00536604">
              <w:rPr>
                <w:sz w:val="22"/>
                <w:szCs w:val="22"/>
              </w:rPr>
              <w:t>gerar valor</w:t>
            </w:r>
            <w:r w:rsidRPr="00536604">
              <w:rPr>
                <w:rFonts w:eastAsia="Calibri"/>
                <w:color w:val="000000"/>
                <w:kern w:val="24"/>
                <w:sz w:val="22"/>
                <w:szCs w:val="22"/>
                <w:lang w:eastAsia="en-US"/>
              </w:rPr>
              <w:t>.</w:t>
            </w:r>
          </w:p>
          <w:p w14:paraId="3EF15280" w14:textId="0B13B864"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Modelo de negócios </w:t>
            </w:r>
          </w:p>
          <w:p w14:paraId="79634B9C" w14:textId="1A65118D" w:rsidR="00311BCE" w:rsidRPr="00536604" w:rsidRDefault="00524BBE" w:rsidP="00B57699">
            <w:pPr>
              <w:pStyle w:val="PargrafodaLista"/>
              <w:ind w:left="318"/>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É</w:t>
            </w:r>
            <w:r w:rsidR="00311BCE" w:rsidRPr="00536604">
              <w:rPr>
                <w:rFonts w:eastAsia="Calibri"/>
                <w:color w:val="000000"/>
                <w:kern w:val="24"/>
                <w:sz w:val="22"/>
                <w:szCs w:val="22"/>
                <w:lang w:eastAsia="en-US"/>
              </w:rPr>
              <w:t xml:space="preserve"> a descrição dos principais insumos, atividades, produtos e impactos (internos/externos e positivos/negativos), por meio diagrama simples e fluxo narrativo lógico, com identificação das partes interessadas críticas. </w:t>
            </w:r>
          </w:p>
          <w:p w14:paraId="7158A98A"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Em outras palavras, é o sistema de transformação de insumos em produtos e impactos por meio das atividades de uma UPC, a fim de cumprir os seus objetivos estratégicos e gerar valor. </w:t>
            </w:r>
          </w:p>
          <w:p w14:paraId="716CF55C"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Enquanto o produto final depende apenas do desempenho das atividades, o impacto que ele causa é afetado por condições externas, que fogem ao controle da UPC.</w:t>
            </w:r>
          </w:p>
          <w:p w14:paraId="1EBDC33A" w14:textId="77777777" w:rsidR="003F37AF" w:rsidRPr="00536604" w:rsidRDefault="003F37AF" w:rsidP="003F37AF">
            <w:pPr>
              <w:spacing w:after="60"/>
              <w:jc w:val="both"/>
              <w:rPr>
                <w:b/>
                <w:color w:val="000000"/>
                <w:sz w:val="22"/>
                <w:szCs w:val="22"/>
              </w:rPr>
            </w:pPr>
            <w:r w:rsidRPr="00536604">
              <w:rPr>
                <w:b/>
                <w:color w:val="000000"/>
                <w:sz w:val="22"/>
                <w:szCs w:val="22"/>
              </w:rPr>
              <w:t>Forma</w:t>
            </w:r>
            <w:r>
              <w:rPr>
                <w:b/>
                <w:color w:val="000000"/>
                <w:sz w:val="22"/>
                <w:szCs w:val="22"/>
              </w:rPr>
              <w:t xml:space="preserve"> recomendada</w:t>
            </w:r>
          </w:p>
          <w:p w14:paraId="38E6A514" w14:textId="1488C610" w:rsidR="00311BCE" w:rsidRPr="00536604" w:rsidRDefault="008B2FD1"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5 páginas;</w:t>
            </w:r>
          </w:p>
          <w:p w14:paraId="0357C50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Organograma com a estrutura organizacional;</w:t>
            </w:r>
          </w:p>
          <w:p w14:paraId="592DC846"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Destaque individual com foto e descrição resumida do perfil de cada dirigente, bem como missão institucional de cada órgão; </w:t>
            </w:r>
          </w:p>
          <w:p w14:paraId="4C690A8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Separação entre cenário nacional e internacional, uso de indicadores, identificação clara de oportunidades e ameaças, tudo vinculado com os objetivos da UPC;</w:t>
            </w:r>
          </w:p>
          <w:p w14:paraId="74C4F856"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Diagrama simples e fluxo narrativo lógico do modelo de negócio da UPC (cadeia de valor), com identificação das partes interessadas críticas. </w:t>
            </w:r>
          </w:p>
        </w:tc>
      </w:tr>
      <w:tr w:rsidR="00311BCE" w:rsidRPr="00536604" w14:paraId="2D59763E" w14:textId="77777777" w:rsidTr="00520362">
        <w:tc>
          <w:tcPr>
            <w:tcW w:w="4536" w:type="dxa"/>
            <w:shd w:val="clear" w:color="auto" w:fill="FFFFFF" w:themeFill="background1"/>
          </w:tcPr>
          <w:p w14:paraId="6C3E1E6F" w14:textId="77777777" w:rsidR="00311BCE" w:rsidRPr="00536604" w:rsidRDefault="00311BCE" w:rsidP="00B57699">
            <w:pPr>
              <w:rPr>
                <w:b/>
                <w:color w:val="000000"/>
                <w:sz w:val="22"/>
                <w:szCs w:val="22"/>
              </w:rPr>
            </w:pPr>
            <w:r w:rsidRPr="00536604">
              <w:rPr>
                <w:b/>
                <w:color w:val="000000"/>
                <w:sz w:val="22"/>
                <w:szCs w:val="22"/>
              </w:rPr>
              <w:lastRenderedPageBreak/>
              <w:t>Planejamento estratégico</w:t>
            </w:r>
            <w:r w:rsidRPr="00536604">
              <w:rPr>
                <w:sz w:val="22"/>
                <w:szCs w:val="22"/>
              </w:rPr>
              <w:t xml:space="preserve"> </w:t>
            </w:r>
            <w:r w:rsidRPr="00536604">
              <w:rPr>
                <w:b/>
                <w:color w:val="000000"/>
                <w:sz w:val="22"/>
                <w:szCs w:val="22"/>
              </w:rPr>
              <w:t>e governança</w:t>
            </w:r>
          </w:p>
          <w:p w14:paraId="26228A40" w14:textId="77777777" w:rsidR="00311BCE" w:rsidRPr="00536604" w:rsidRDefault="00311BCE" w:rsidP="00B57699">
            <w:pPr>
              <w:jc w:val="both"/>
              <w:rPr>
                <w:b/>
                <w:color w:val="000000"/>
                <w:sz w:val="22"/>
                <w:szCs w:val="22"/>
              </w:rPr>
            </w:pPr>
            <w:r w:rsidRPr="00536604">
              <w:rPr>
                <w:rFonts w:eastAsia="Calibri"/>
                <w:color w:val="000000"/>
                <w:kern w:val="24"/>
                <w:sz w:val="22"/>
                <w:szCs w:val="22"/>
              </w:rPr>
              <w:t xml:space="preserve">Informações sobre como a unidade planeja o cumprimento da sua missão, no início e ao longo do exercício de referência, apresentação dos principais objetivos estratégicos estabelecidos, descrição das estruturas de governança e avaliação sobre como essa estrutura apoia o cumprimento dos objetivos estratégicos, especialmente sobre poder decisório e articulação </w:t>
            </w:r>
            <w:r w:rsidRPr="00536604">
              <w:rPr>
                <w:rFonts w:eastAsia="Calibri"/>
                <w:color w:val="000000"/>
                <w:kern w:val="24"/>
                <w:sz w:val="22"/>
                <w:szCs w:val="22"/>
              </w:rPr>
              <w:lastRenderedPageBreak/>
              <w:t xml:space="preserve">institucional, </w:t>
            </w:r>
            <w:r w:rsidRPr="00536604">
              <w:rPr>
                <w:sz w:val="22"/>
                <w:szCs w:val="22"/>
              </w:rPr>
              <w:t>assim como relacionamento com a sociedade e partes interessadas.</w:t>
            </w:r>
          </w:p>
        </w:tc>
        <w:tc>
          <w:tcPr>
            <w:tcW w:w="5103" w:type="dxa"/>
            <w:shd w:val="clear" w:color="auto" w:fill="FFFFFF" w:themeFill="background1"/>
          </w:tcPr>
          <w:p w14:paraId="161E91E5" w14:textId="77777777" w:rsidR="00311BCE" w:rsidRPr="00536604" w:rsidRDefault="00311BCE" w:rsidP="00B57699">
            <w:pPr>
              <w:rPr>
                <w:b/>
                <w:color w:val="000000"/>
                <w:sz w:val="22"/>
                <w:szCs w:val="22"/>
              </w:rPr>
            </w:pPr>
            <w:r w:rsidRPr="00536604">
              <w:rPr>
                <w:b/>
                <w:color w:val="000000"/>
                <w:sz w:val="22"/>
                <w:szCs w:val="22"/>
              </w:rPr>
              <w:lastRenderedPageBreak/>
              <w:t>Planejamento estratégico e governança</w:t>
            </w:r>
          </w:p>
          <w:p w14:paraId="2DCFAD19" w14:textId="77777777" w:rsidR="00311BCE" w:rsidRPr="00536604" w:rsidRDefault="00311BCE" w:rsidP="00B57699">
            <w:pPr>
              <w:textAlignment w:val="bottom"/>
              <w:rPr>
                <w:i/>
                <w:sz w:val="22"/>
                <w:szCs w:val="22"/>
              </w:rPr>
            </w:pPr>
            <w:r w:rsidRPr="00536604">
              <w:rPr>
                <w:i/>
                <w:sz w:val="22"/>
                <w:szCs w:val="22"/>
              </w:rPr>
              <w:t>Como a estrutura de governança apoia a capacidade da UPC de alcançar seus objetivos?</w:t>
            </w:r>
          </w:p>
          <w:p w14:paraId="133066AF"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objetivos estratégicos, com especificação de planos para implementar as prioridades estratégicas da gestão</w:t>
            </w:r>
          </w:p>
          <w:p w14:paraId="42E00FC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Descrição das estruturas de governança </w:t>
            </w:r>
          </w:p>
          <w:p w14:paraId="28CB2F93"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Principais canais de comunicação com a sociedade e partes interessadas</w:t>
            </w:r>
          </w:p>
          <w:p w14:paraId="15ECD6CC" w14:textId="77777777" w:rsidR="00311BCE" w:rsidRPr="00536604" w:rsidRDefault="00311BCE" w:rsidP="00B57699">
            <w:pPr>
              <w:jc w:val="both"/>
              <w:textAlignment w:val="bottom"/>
              <w:rPr>
                <w:sz w:val="22"/>
                <w:szCs w:val="22"/>
              </w:rPr>
            </w:pPr>
          </w:p>
        </w:tc>
        <w:tc>
          <w:tcPr>
            <w:tcW w:w="5670" w:type="dxa"/>
            <w:shd w:val="clear" w:color="auto" w:fill="FFFFFF" w:themeFill="background1"/>
          </w:tcPr>
          <w:p w14:paraId="39F91305" w14:textId="77777777" w:rsidR="00311BCE" w:rsidRPr="00536604" w:rsidRDefault="00311BCE" w:rsidP="00B57699">
            <w:pPr>
              <w:rPr>
                <w:b/>
                <w:color w:val="000000"/>
                <w:sz w:val="22"/>
                <w:szCs w:val="22"/>
              </w:rPr>
            </w:pPr>
            <w:r w:rsidRPr="00536604">
              <w:rPr>
                <w:b/>
                <w:color w:val="000000"/>
                <w:sz w:val="22"/>
                <w:szCs w:val="22"/>
              </w:rPr>
              <w:lastRenderedPageBreak/>
              <w:t>Planejamento estratégico e governança</w:t>
            </w:r>
          </w:p>
          <w:p w14:paraId="235B8886" w14:textId="77777777" w:rsidR="00311BCE" w:rsidRPr="00536604" w:rsidRDefault="00311BCE" w:rsidP="00B57699">
            <w:pPr>
              <w:jc w:val="both"/>
              <w:rPr>
                <w:sz w:val="22"/>
                <w:szCs w:val="22"/>
              </w:rPr>
            </w:pPr>
            <w:r w:rsidRPr="00536604">
              <w:rPr>
                <w:sz w:val="22"/>
                <w:szCs w:val="22"/>
              </w:rPr>
              <w:t>O objetivo do capítulo é demonstrar a direção estratégica, as estruturas que contribuem para a boa governança da UPC e o alinhamento desta com as partes interessadas.</w:t>
            </w:r>
          </w:p>
          <w:p w14:paraId="09915121"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26E2074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rPr>
            </w:pPr>
            <w:r w:rsidRPr="00536604">
              <w:rPr>
                <w:rFonts w:eastAsia="Calibri"/>
                <w:color w:val="000000"/>
                <w:kern w:val="24"/>
                <w:sz w:val="22"/>
                <w:szCs w:val="22"/>
                <w:lang w:eastAsia="en-US"/>
              </w:rPr>
              <w:lastRenderedPageBreak/>
              <w:t>Mensagem clara sobre objetivos estratégicos e das estratégias estabelecidas para alcançá-los (planos para implementar as prioridades);</w:t>
            </w:r>
          </w:p>
          <w:p w14:paraId="483EE42C"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Modelo de governança com a descrição das estruturas de governança e abordando os processos específicos para tomada de decisão; </w:t>
            </w:r>
          </w:p>
          <w:p w14:paraId="2FC4459A"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canais de comunicação com a sociedade e partes interessadas, abordando: resultados dos serviços da ouvidoria e da LAI, formas de participação cidadã em processos decisórios, explicação sobre c</w:t>
            </w:r>
            <w:r w:rsidRPr="00536604">
              <w:rPr>
                <w:sz w:val="22"/>
                <w:szCs w:val="22"/>
              </w:rPr>
              <w:t>omo a cultura, ética e valores refletem nos recursos e relações com partes interessadas</w:t>
            </w:r>
            <w:r w:rsidRPr="00536604">
              <w:rPr>
                <w:rFonts w:eastAsia="Calibri"/>
                <w:color w:val="000000"/>
                <w:kern w:val="24"/>
                <w:sz w:val="22"/>
                <w:szCs w:val="22"/>
                <w:lang w:eastAsia="en-US"/>
              </w:rPr>
              <w:t>.</w:t>
            </w:r>
          </w:p>
          <w:p w14:paraId="17AEE1B7" w14:textId="4814E240" w:rsidR="00311BCE" w:rsidRPr="00536604" w:rsidRDefault="00311BCE" w:rsidP="00B57699">
            <w:pPr>
              <w:spacing w:after="60"/>
              <w:jc w:val="both"/>
              <w:rPr>
                <w:b/>
                <w:color w:val="000000"/>
                <w:sz w:val="22"/>
                <w:szCs w:val="22"/>
              </w:rPr>
            </w:pPr>
            <w:r w:rsidRPr="00536604">
              <w:rPr>
                <w:b/>
                <w:color w:val="000000"/>
                <w:sz w:val="22"/>
                <w:szCs w:val="22"/>
              </w:rPr>
              <w:t>Forma</w:t>
            </w:r>
            <w:r w:rsidR="003F1D42">
              <w:rPr>
                <w:b/>
                <w:color w:val="000000"/>
                <w:sz w:val="22"/>
                <w:szCs w:val="22"/>
              </w:rPr>
              <w:t xml:space="preserve"> recomendada</w:t>
            </w:r>
          </w:p>
          <w:p w14:paraId="2B15E8DF" w14:textId="01AA6A3F" w:rsidR="00311BCE" w:rsidRPr="00536604" w:rsidRDefault="008B2FD1"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5 páginas;</w:t>
            </w:r>
          </w:p>
          <w:p w14:paraId="0293801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Mapa estratégico;</w:t>
            </w:r>
          </w:p>
          <w:p w14:paraId="6FA6AEDA" w14:textId="77777777" w:rsidR="00311BCE" w:rsidRPr="00536604" w:rsidRDefault="00311BCE" w:rsidP="00311BCE">
            <w:pPr>
              <w:pStyle w:val="PargrafodaLista"/>
              <w:numPr>
                <w:ilvl w:val="0"/>
                <w:numId w:val="20"/>
              </w:numPr>
              <w:ind w:left="318" w:hanging="284"/>
              <w:contextualSpacing w:val="0"/>
              <w:jc w:val="both"/>
              <w:textAlignment w:val="bottom"/>
              <w:rPr>
                <w:b/>
                <w:color w:val="000000"/>
                <w:sz w:val="22"/>
                <w:szCs w:val="22"/>
              </w:rPr>
            </w:pPr>
            <w:r w:rsidRPr="00536604">
              <w:rPr>
                <w:rFonts w:eastAsia="Calibri"/>
                <w:color w:val="000000"/>
                <w:kern w:val="24"/>
                <w:sz w:val="22"/>
                <w:szCs w:val="22"/>
                <w:lang w:eastAsia="en-US"/>
              </w:rPr>
              <w:t>Figura da governança (v</w:t>
            </w:r>
            <w:r w:rsidR="007A11DC">
              <w:rPr>
                <w:rFonts w:eastAsia="Calibri"/>
                <w:color w:val="000000"/>
                <w:kern w:val="24"/>
                <w:sz w:val="22"/>
                <w:szCs w:val="22"/>
                <w:lang w:eastAsia="en-US"/>
              </w:rPr>
              <w:t>.</w:t>
            </w:r>
            <w:r w:rsidRPr="00536604">
              <w:rPr>
                <w:rFonts w:eastAsia="Calibri"/>
                <w:color w:val="000000"/>
                <w:kern w:val="24"/>
                <w:sz w:val="22"/>
                <w:szCs w:val="22"/>
                <w:lang w:eastAsia="en-US"/>
              </w:rPr>
              <w:t xml:space="preserve"> Referencial Básico de governança aplicável a órgãos e entidades da administração, Versão 2, TCU, pág. 28);</w:t>
            </w:r>
          </w:p>
          <w:p w14:paraId="688EC4A0" w14:textId="77777777" w:rsidR="00311BCE" w:rsidRPr="007A11DC" w:rsidRDefault="00311BCE" w:rsidP="00311BCE">
            <w:pPr>
              <w:pStyle w:val="PargrafodaLista"/>
              <w:numPr>
                <w:ilvl w:val="0"/>
                <w:numId w:val="20"/>
              </w:numPr>
              <w:ind w:left="318" w:hanging="284"/>
              <w:contextualSpacing w:val="0"/>
              <w:jc w:val="both"/>
              <w:textAlignment w:val="bottom"/>
              <w:rPr>
                <w:b/>
                <w:color w:val="000000"/>
                <w:sz w:val="22"/>
                <w:szCs w:val="22"/>
              </w:rPr>
            </w:pPr>
            <w:r w:rsidRPr="00536604">
              <w:rPr>
                <w:rFonts w:eastAsia="Calibri"/>
                <w:color w:val="000000"/>
                <w:kern w:val="24"/>
                <w:sz w:val="22"/>
                <w:szCs w:val="22"/>
                <w:lang w:eastAsia="en-US"/>
              </w:rPr>
              <w:t>Infográfico para resultados do relacionamento com a sociedade.</w:t>
            </w:r>
          </w:p>
          <w:p w14:paraId="481A2064" w14:textId="77777777" w:rsidR="007A11DC" w:rsidRPr="00536604" w:rsidRDefault="007A11DC" w:rsidP="007A11DC">
            <w:pPr>
              <w:pStyle w:val="PargrafodaLista"/>
              <w:ind w:left="318"/>
              <w:contextualSpacing w:val="0"/>
              <w:jc w:val="both"/>
              <w:textAlignment w:val="bottom"/>
              <w:rPr>
                <w:b/>
                <w:color w:val="000000"/>
                <w:sz w:val="22"/>
                <w:szCs w:val="22"/>
              </w:rPr>
            </w:pPr>
          </w:p>
        </w:tc>
      </w:tr>
      <w:tr w:rsidR="00311BCE" w:rsidRPr="00536604" w14:paraId="6127EEDD" w14:textId="77777777" w:rsidTr="00520362">
        <w:tc>
          <w:tcPr>
            <w:tcW w:w="4536" w:type="dxa"/>
            <w:shd w:val="clear" w:color="auto" w:fill="FFFFFF" w:themeFill="background1"/>
          </w:tcPr>
          <w:p w14:paraId="5C1A012A" w14:textId="77777777" w:rsidR="00311BCE" w:rsidRPr="00536604" w:rsidRDefault="00311BCE" w:rsidP="00B57699">
            <w:pPr>
              <w:rPr>
                <w:b/>
                <w:color w:val="000000"/>
                <w:sz w:val="22"/>
                <w:szCs w:val="22"/>
              </w:rPr>
            </w:pPr>
            <w:r w:rsidRPr="00536604">
              <w:rPr>
                <w:b/>
                <w:color w:val="000000"/>
                <w:sz w:val="22"/>
                <w:szCs w:val="22"/>
              </w:rPr>
              <w:lastRenderedPageBreak/>
              <w:t>Gestão de riscos e controles internos</w:t>
            </w:r>
          </w:p>
          <w:p w14:paraId="6CAB7D86" w14:textId="77777777" w:rsidR="00311BCE" w:rsidRPr="00536604" w:rsidRDefault="00311BCE" w:rsidP="00B57699">
            <w:pPr>
              <w:jc w:val="both"/>
              <w:rPr>
                <w:b/>
                <w:color w:val="000000"/>
                <w:sz w:val="22"/>
                <w:szCs w:val="22"/>
              </w:rPr>
            </w:pPr>
            <w:r w:rsidRPr="00536604">
              <w:rPr>
                <w:sz w:val="22"/>
                <w:szCs w:val="22"/>
              </w:rPr>
              <w:t>Avaliação dos riscos que possam comprometer o atingimento dos objetivos estratégicos e instituição de controles para mitigação desses riscos.</w:t>
            </w:r>
          </w:p>
        </w:tc>
        <w:tc>
          <w:tcPr>
            <w:tcW w:w="5103" w:type="dxa"/>
            <w:shd w:val="clear" w:color="auto" w:fill="FFFFFF" w:themeFill="background1"/>
          </w:tcPr>
          <w:p w14:paraId="09FB72A5" w14:textId="77777777" w:rsidR="00311BCE" w:rsidRPr="00536604" w:rsidRDefault="00311BCE" w:rsidP="00B57699">
            <w:pPr>
              <w:rPr>
                <w:b/>
                <w:color w:val="000000"/>
                <w:sz w:val="22"/>
                <w:szCs w:val="22"/>
              </w:rPr>
            </w:pPr>
            <w:r w:rsidRPr="00536604">
              <w:rPr>
                <w:b/>
                <w:color w:val="000000"/>
                <w:sz w:val="22"/>
                <w:szCs w:val="22"/>
              </w:rPr>
              <w:t>Gestão de riscos e controles internos</w:t>
            </w:r>
          </w:p>
          <w:p w14:paraId="0E69EC40" w14:textId="77777777" w:rsidR="00311BCE" w:rsidRPr="00536604" w:rsidRDefault="00311BCE" w:rsidP="00B57699">
            <w:pPr>
              <w:jc w:val="both"/>
              <w:textAlignment w:val="bottom"/>
              <w:rPr>
                <w:i/>
                <w:sz w:val="22"/>
                <w:szCs w:val="22"/>
              </w:rPr>
            </w:pPr>
            <w:r w:rsidRPr="00536604">
              <w:rPr>
                <w:i/>
                <w:sz w:val="22"/>
                <w:szCs w:val="22"/>
              </w:rPr>
              <w:t>Quais são os riscos específicos que afetam a capacidade de UPC alcançar seus objetivos no exercício e como a UPC lida com eles?</w:t>
            </w:r>
          </w:p>
          <w:p w14:paraId="1099119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Gestão de riscos e controles internos: vinculação entre riscos e objetivos estratégicos, riscos </w:t>
            </w:r>
            <w:r w:rsidRPr="00536604">
              <w:rPr>
                <w:rFonts w:eastAsia="Calibri"/>
                <w:color w:val="000000"/>
                <w:kern w:val="24"/>
                <w:sz w:val="22"/>
                <w:szCs w:val="22"/>
                <w:lang w:eastAsia="en-US"/>
              </w:rPr>
              <w:lastRenderedPageBreak/>
              <w:t>significativos quantificados e medidas de mitigação no exercício.</w:t>
            </w:r>
          </w:p>
          <w:p w14:paraId="5B44AC7D" w14:textId="77777777" w:rsidR="00311BCE" w:rsidRPr="00536604" w:rsidRDefault="00311BCE" w:rsidP="00B57699">
            <w:pPr>
              <w:jc w:val="both"/>
              <w:textAlignment w:val="bottom"/>
              <w:rPr>
                <w:sz w:val="22"/>
                <w:szCs w:val="22"/>
              </w:rPr>
            </w:pPr>
          </w:p>
        </w:tc>
        <w:tc>
          <w:tcPr>
            <w:tcW w:w="5670" w:type="dxa"/>
            <w:shd w:val="clear" w:color="auto" w:fill="FFFFFF" w:themeFill="background1"/>
          </w:tcPr>
          <w:p w14:paraId="749A210E" w14:textId="77777777" w:rsidR="00311BCE" w:rsidRPr="00536604" w:rsidRDefault="00311BCE" w:rsidP="00B57699">
            <w:pPr>
              <w:rPr>
                <w:b/>
                <w:color w:val="000000"/>
                <w:sz w:val="22"/>
                <w:szCs w:val="22"/>
              </w:rPr>
            </w:pPr>
            <w:r w:rsidRPr="00536604">
              <w:rPr>
                <w:b/>
                <w:color w:val="000000"/>
                <w:sz w:val="22"/>
                <w:szCs w:val="22"/>
              </w:rPr>
              <w:lastRenderedPageBreak/>
              <w:t>Gestão de riscos e controles internos</w:t>
            </w:r>
          </w:p>
          <w:p w14:paraId="57F31AA2" w14:textId="77777777" w:rsidR="00311BCE" w:rsidRPr="00536604" w:rsidRDefault="00311BCE" w:rsidP="00B57699">
            <w:pPr>
              <w:jc w:val="both"/>
              <w:rPr>
                <w:sz w:val="22"/>
                <w:szCs w:val="22"/>
              </w:rPr>
            </w:pPr>
            <w:r w:rsidRPr="00536604">
              <w:rPr>
                <w:sz w:val="22"/>
                <w:szCs w:val="22"/>
              </w:rPr>
              <w:t>O objetivo do capítulo é demonstrar quais são os mecanismos de controle estabelecidos para alcançar os objetivos institucionais.</w:t>
            </w:r>
          </w:p>
          <w:p w14:paraId="24519F21"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6A528C8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Principais riscos e sua vinculação aos objetivos estratégicos; </w:t>
            </w:r>
          </w:p>
          <w:p w14:paraId="7BE510B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Medidas específicas de gerenciamento dos riscos significativos. </w:t>
            </w:r>
          </w:p>
          <w:p w14:paraId="1DBE62B8" w14:textId="695C3618" w:rsidR="00311BCE" w:rsidRPr="00536604" w:rsidRDefault="00311BCE" w:rsidP="00B57699">
            <w:pPr>
              <w:spacing w:after="60"/>
              <w:jc w:val="both"/>
              <w:rPr>
                <w:b/>
                <w:color w:val="000000"/>
                <w:sz w:val="22"/>
                <w:szCs w:val="22"/>
              </w:rPr>
            </w:pPr>
            <w:r w:rsidRPr="00536604">
              <w:rPr>
                <w:b/>
                <w:color w:val="000000"/>
                <w:sz w:val="22"/>
                <w:szCs w:val="22"/>
              </w:rPr>
              <w:t>Forma</w:t>
            </w:r>
            <w:r w:rsidR="003F1D42">
              <w:rPr>
                <w:b/>
                <w:color w:val="000000"/>
                <w:sz w:val="22"/>
                <w:szCs w:val="22"/>
              </w:rPr>
              <w:t xml:space="preserve"> recomendada</w:t>
            </w:r>
          </w:p>
          <w:p w14:paraId="2BDDEF9B" w14:textId="7202BEA5" w:rsidR="00311BCE" w:rsidRPr="00536604" w:rsidRDefault="008B2FD1"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5 páginas;</w:t>
            </w:r>
          </w:p>
          <w:p w14:paraId="7C3DE11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Explicação sobre tipos de riscos: estratégico, operacional, de mercado, de crédito, de comunicação, de conformidade, </w:t>
            </w:r>
            <w:proofErr w:type="spellStart"/>
            <w:r w:rsidRPr="00536604">
              <w:rPr>
                <w:rFonts w:eastAsia="Calibri"/>
                <w:color w:val="000000"/>
                <w:kern w:val="24"/>
                <w:sz w:val="22"/>
                <w:szCs w:val="22"/>
                <w:lang w:eastAsia="en-US"/>
              </w:rPr>
              <w:t>etc</w:t>
            </w:r>
            <w:proofErr w:type="spellEnd"/>
            <w:r w:rsidRPr="00536604">
              <w:rPr>
                <w:rFonts w:eastAsia="Calibri"/>
                <w:color w:val="000000"/>
                <w:kern w:val="24"/>
                <w:sz w:val="22"/>
                <w:szCs w:val="22"/>
                <w:lang w:eastAsia="en-US"/>
              </w:rPr>
              <w:t xml:space="preserve">; </w:t>
            </w:r>
          </w:p>
          <w:p w14:paraId="6CF098F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Visão geral do modelo de gestão de riscos e controles, esclarecendo os componentes dos controles internos: ambiente, avaliação de riscos, atividades de controle, sistemas de informação e monitoramento; </w:t>
            </w:r>
          </w:p>
          <w:p w14:paraId="652896A4"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Detalhamento individualizado dos principais riscos e da resposta a cada um deles (controles internos).</w:t>
            </w:r>
          </w:p>
        </w:tc>
      </w:tr>
      <w:tr w:rsidR="00311BCE" w:rsidRPr="00536604" w14:paraId="5F39612D" w14:textId="77777777" w:rsidTr="00520362">
        <w:tc>
          <w:tcPr>
            <w:tcW w:w="4536" w:type="dxa"/>
            <w:shd w:val="clear" w:color="auto" w:fill="FFFFFF" w:themeFill="background1"/>
          </w:tcPr>
          <w:p w14:paraId="54037398" w14:textId="77777777" w:rsidR="00311BCE" w:rsidRPr="00536604" w:rsidRDefault="00311BCE" w:rsidP="00B57699">
            <w:pPr>
              <w:rPr>
                <w:b/>
                <w:color w:val="000000"/>
                <w:sz w:val="22"/>
                <w:szCs w:val="22"/>
              </w:rPr>
            </w:pPr>
            <w:r w:rsidRPr="00536604">
              <w:rPr>
                <w:b/>
                <w:color w:val="000000"/>
                <w:sz w:val="22"/>
                <w:szCs w:val="22"/>
              </w:rPr>
              <w:lastRenderedPageBreak/>
              <w:t xml:space="preserve">Resultados da gestão </w:t>
            </w:r>
          </w:p>
          <w:p w14:paraId="237669DC" w14:textId="77777777" w:rsidR="00311BCE" w:rsidRPr="00536604" w:rsidRDefault="00311BCE" w:rsidP="00B57699">
            <w:pPr>
              <w:pStyle w:val="Textodecomentrio"/>
              <w:spacing w:before="120"/>
              <w:jc w:val="both"/>
              <w:rPr>
                <w:sz w:val="22"/>
                <w:szCs w:val="22"/>
              </w:rPr>
            </w:pPr>
            <w:r w:rsidRPr="00536604">
              <w:rPr>
                <w:sz w:val="22"/>
                <w:szCs w:val="22"/>
              </w:rPr>
              <w:t>Demonstração dos resultados alcançados para o período em relação à missão institucional e aos objetivos estratégicos finalísticos, por meio de indicadores sobre metas, justificativas para o resultado e expectativas para os próximos exercícios e ajustes necessários no planejamento estratégico para o exercício seguinte.</w:t>
            </w:r>
          </w:p>
        </w:tc>
        <w:tc>
          <w:tcPr>
            <w:tcW w:w="5103" w:type="dxa"/>
            <w:shd w:val="clear" w:color="auto" w:fill="FFFFFF" w:themeFill="background1"/>
          </w:tcPr>
          <w:p w14:paraId="10C7D605" w14:textId="77777777" w:rsidR="00311BCE" w:rsidRPr="00536604" w:rsidRDefault="00311BCE" w:rsidP="00B57699">
            <w:pPr>
              <w:rPr>
                <w:b/>
                <w:color w:val="000000"/>
                <w:sz w:val="22"/>
                <w:szCs w:val="22"/>
              </w:rPr>
            </w:pPr>
            <w:r w:rsidRPr="00536604">
              <w:rPr>
                <w:b/>
                <w:color w:val="000000"/>
                <w:sz w:val="22"/>
                <w:szCs w:val="22"/>
              </w:rPr>
              <w:t>Resultados da gestão</w:t>
            </w:r>
          </w:p>
          <w:p w14:paraId="5D6A4107" w14:textId="77777777" w:rsidR="00311BCE" w:rsidRPr="00536604" w:rsidRDefault="00311BCE" w:rsidP="00B57699">
            <w:pPr>
              <w:jc w:val="both"/>
              <w:rPr>
                <w:rFonts w:eastAsia="Calibri"/>
                <w:i/>
                <w:color w:val="000000"/>
                <w:kern w:val="24"/>
                <w:sz w:val="22"/>
                <w:szCs w:val="22"/>
              </w:rPr>
            </w:pPr>
            <w:r w:rsidRPr="00536604">
              <w:rPr>
                <w:rFonts w:eastAsia="Calibri"/>
                <w:i/>
                <w:color w:val="000000"/>
                <w:kern w:val="24"/>
                <w:sz w:val="22"/>
                <w:szCs w:val="22"/>
              </w:rPr>
              <w:t>Até que ponto a UPC já alcançou seus objetivos estratégicos para o período e quais as expectativas para os próximos exercícios?</w:t>
            </w:r>
          </w:p>
          <w:p w14:paraId="504D80C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Resultados alcançados frente aos objetivos estratégicos (ou cadeia de valor) e às prioridades da gestão</w:t>
            </w:r>
          </w:p>
          <w:p w14:paraId="48517CC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programas e projetos/iniciativas</w:t>
            </w:r>
          </w:p>
          <w:p w14:paraId="792D94A5"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Indicadores de desempenho quantificados e alinhados aos objetivos </w:t>
            </w:r>
          </w:p>
          <w:p w14:paraId="64AC656A"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Avaliação equilibrada dos objetivos alcançados e do desempenho em relação às metas</w:t>
            </w:r>
          </w:p>
          <w:p w14:paraId="44BB8DD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Monitoramento de metas não alcançadas</w:t>
            </w:r>
          </w:p>
          <w:p w14:paraId="6A3E48E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Justificativas para o resultado</w:t>
            </w:r>
          </w:p>
          <w:p w14:paraId="727EA14C"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Perspectiva para os próximos exercícios: desafios e incertezas que a UPC provavelmente enfrentará ao perseguir o seu planejamento estratégico</w:t>
            </w:r>
          </w:p>
        </w:tc>
        <w:tc>
          <w:tcPr>
            <w:tcW w:w="5670" w:type="dxa"/>
            <w:shd w:val="clear" w:color="auto" w:fill="FFFFFF" w:themeFill="background1"/>
          </w:tcPr>
          <w:p w14:paraId="7EFEDE56" w14:textId="77777777" w:rsidR="00311BCE" w:rsidRPr="00536604" w:rsidRDefault="00311BCE" w:rsidP="00B57699">
            <w:pPr>
              <w:rPr>
                <w:b/>
                <w:color w:val="000000"/>
                <w:sz w:val="22"/>
                <w:szCs w:val="22"/>
              </w:rPr>
            </w:pPr>
            <w:r w:rsidRPr="00536604">
              <w:rPr>
                <w:b/>
                <w:color w:val="000000"/>
                <w:sz w:val="22"/>
                <w:szCs w:val="22"/>
              </w:rPr>
              <w:lastRenderedPageBreak/>
              <w:t>Resultados da gestão</w:t>
            </w:r>
          </w:p>
          <w:p w14:paraId="12A481A8" w14:textId="77777777" w:rsidR="00311BCE" w:rsidRPr="00536604" w:rsidRDefault="00311BCE" w:rsidP="00B57699">
            <w:pPr>
              <w:jc w:val="both"/>
              <w:rPr>
                <w:sz w:val="22"/>
                <w:szCs w:val="22"/>
              </w:rPr>
            </w:pPr>
            <w:r w:rsidRPr="00536604">
              <w:rPr>
                <w:sz w:val="22"/>
                <w:szCs w:val="22"/>
              </w:rPr>
              <w:t>O objetivo do capítulo é demonstrar quais foram as metas e as realizações em relação à missão institucional e aos objetivos estratégicos finalísticos, bem como sintetizar as principais perspectivas para os próximos anos.</w:t>
            </w:r>
          </w:p>
          <w:p w14:paraId="4C0EB99C" w14:textId="77777777" w:rsidR="007A11DC" w:rsidRDefault="007A11DC" w:rsidP="00B57699">
            <w:pPr>
              <w:autoSpaceDE w:val="0"/>
              <w:autoSpaceDN w:val="0"/>
              <w:adjustRightInd w:val="0"/>
              <w:rPr>
                <w:b/>
                <w:color w:val="000000"/>
                <w:sz w:val="22"/>
                <w:szCs w:val="22"/>
              </w:rPr>
            </w:pPr>
          </w:p>
          <w:p w14:paraId="6BF37C9F"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7700CFA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Cada objetivo estratégico/cadeia de valor deve ser abordado em seção específica, abrangendo:</w:t>
            </w:r>
          </w:p>
          <w:p w14:paraId="752A34AB"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Problema a ser tratado pelo objetivo estratégico/cadeia de valor; </w:t>
            </w:r>
          </w:p>
          <w:p w14:paraId="6F337496"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Visão geral sobre a cadeia de valor; </w:t>
            </w:r>
          </w:p>
          <w:p w14:paraId="240C910F"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Prioridades estabelecidas no exercício para atingimento das metas relativas à cadeia de valor; </w:t>
            </w:r>
          </w:p>
          <w:p w14:paraId="1125BBF4"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ações, projetos e programas da cadeia de valor, especificando relevância; valores aplicados, resultados e impactos; </w:t>
            </w:r>
          </w:p>
          <w:p w14:paraId="6FA82866"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Riscos e outros fatores que influenciaram a cadeia de valor; </w:t>
            </w:r>
          </w:p>
          <w:p w14:paraId="2122CA11"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resultados, progresso em relação à meta estabelecida e impacto observado, com uso de indicadores (indicadores de desempenho quantificados e alinhados aos objetivos estratégicos);</w:t>
            </w:r>
          </w:p>
          <w:p w14:paraId="4EAEAF23"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Causas/impedimentos para o alcance dos objetivos e medidas tomadas para enfrentamento (justificativas para o resultado e monitoramento de metas não alcançadas); </w:t>
            </w:r>
          </w:p>
          <w:p w14:paraId="1E81BE10"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Desafios remanescentes e próximos passos. </w:t>
            </w:r>
          </w:p>
          <w:p w14:paraId="72653850"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Incluir os desafios e incertezas que a UPC provavelmente enfrentará ao perseguir o seu planejamento estratégico (perspectiva) e potenciais implicações para o seu modelo de negócios (ou cadeia de valor) e desempenho futuro.</w:t>
            </w:r>
          </w:p>
          <w:p w14:paraId="302E405C" w14:textId="77777777" w:rsidR="00311BCE" w:rsidRPr="00536604" w:rsidRDefault="00311BCE" w:rsidP="00B57699">
            <w:pPr>
              <w:ind w:left="318"/>
              <w:jc w:val="both"/>
              <w:textAlignment w:val="bottom"/>
              <w:rPr>
                <w:b/>
                <w:sz w:val="22"/>
                <w:szCs w:val="22"/>
              </w:rPr>
            </w:pPr>
            <w:r w:rsidRPr="00536604">
              <w:rPr>
                <w:sz w:val="22"/>
                <w:szCs w:val="22"/>
              </w:rPr>
              <w:t>A discussão das potenciais implicações, inclusive para o desempenho futuro, normalmente inclui o ambiente externo, bem como riscos, com uma análise de como estes podem afetar a realização dos objetivos estratégicos.</w:t>
            </w:r>
          </w:p>
          <w:p w14:paraId="7967E774" w14:textId="79B63F53" w:rsidR="00311BCE" w:rsidRPr="00536604" w:rsidRDefault="00311BCE" w:rsidP="00B57699">
            <w:pPr>
              <w:spacing w:after="60"/>
              <w:jc w:val="both"/>
              <w:rPr>
                <w:b/>
                <w:color w:val="000000"/>
                <w:sz w:val="22"/>
                <w:szCs w:val="22"/>
              </w:rPr>
            </w:pPr>
            <w:r w:rsidRPr="00536604">
              <w:rPr>
                <w:b/>
                <w:color w:val="000000"/>
                <w:sz w:val="22"/>
                <w:szCs w:val="22"/>
              </w:rPr>
              <w:t>Forma</w:t>
            </w:r>
            <w:r w:rsidR="003F1D42">
              <w:rPr>
                <w:b/>
                <w:color w:val="000000"/>
                <w:sz w:val="22"/>
                <w:szCs w:val="22"/>
              </w:rPr>
              <w:t xml:space="preserve"> recomendada</w:t>
            </w:r>
          </w:p>
          <w:p w14:paraId="22274BC6" w14:textId="5BA52837" w:rsidR="00311BCE" w:rsidRPr="00536604" w:rsidRDefault="008B2FD1"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30 páginas;</w:t>
            </w:r>
          </w:p>
          <w:p w14:paraId="58929D8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Diagrama simples e fluxo narrativo lógico com formato padrão para todas cadeias de valor; </w:t>
            </w:r>
          </w:p>
          <w:p w14:paraId="0BB14F0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Gráficos dos principais indicadores, contendo as metas e os resultados atingidos;</w:t>
            </w:r>
          </w:p>
          <w:p w14:paraId="2C30BDD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Diagrama ou infográfico para resultados qualitativos;</w:t>
            </w:r>
          </w:p>
          <w:p w14:paraId="64EFD13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Quadro/infográfico com os principais desafios e incertezas.</w:t>
            </w:r>
          </w:p>
        </w:tc>
      </w:tr>
      <w:tr w:rsidR="00311BCE" w:rsidRPr="00536604" w14:paraId="2F7ECD7A" w14:textId="77777777" w:rsidTr="00520362">
        <w:tc>
          <w:tcPr>
            <w:tcW w:w="4536" w:type="dxa"/>
            <w:shd w:val="clear" w:color="auto" w:fill="FFFFFF" w:themeFill="background1"/>
          </w:tcPr>
          <w:p w14:paraId="3751D869" w14:textId="77777777" w:rsidR="00311BCE" w:rsidRPr="00536604" w:rsidRDefault="00311BCE" w:rsidP="00B57699">
            <w:pPr>
              <w:jc w:val="both"/>
              <w:rPr>
                <w:b/>
                <w:color w:val="000000"/>
                <w:sz w:val="22"/>
                <w:szCs w:val="22"/>
              </w:rPr>
            </w:pPr>
            <w:r w:rsidRPr="00536604">
              <w:rPr>
                <w:b/>
                <w:sz w:val="22"/>
                <w:szCs w:val="22"/>
              </w:rPr>
              <w:lastRenderedPageBreak/>
              <w:t>Alocação de recursos e</w:t>
            </w:r>
            <w:r w:rsidRPr="00536604">
              <w:rPr>
                <w:b/>
                <w:color w:val="000000"/>
                <w:sz w:val="22"/>
                <w:szCs w:val="22"/>
              </w:rPr>
              <w:t xml:space="preserve"> áreas especiais da gestão</w:t>
            </w:r>
          </w:p>
          <w:p w14:paraId="59E7FE8C" w14:textId="77777777" w:rsidR="00311BCE" w:rsidRPr="00536604" w:rsidRDefault="00311BCE" w:rsidP="00B57699">
            <w:pPr>
              <w:pStyle w:val="Textodecomentrio"/>
              <w:spacing w:before="120"/>
              <w:jc w:val="both"/>
              <w:rPr>
                <w:sz w:val="22"/>
                <w:szCs w:val="22"/>
              </w:rPr>
            </w:pPr>
            <w:r w:rsidRPr="00536604">
              <w:rPr>
                <w:sz w:val="22"/>
                <w:szCs w:val="22"/>
              </w:rPr>
              <w:t>Demonstração da alocação de recursos com vistas ao cumprimento da missão e dos principais objetivos da unidade prestadora de contas, abrangendo a avaliação sobre áreas relevantes da gestão que tenham contribuição decisiva para o alcance dos resultados da unidade, tais como pessoal, tecnologia da informação, licitação e contratos, infraestrutura e gestão patrimonial, sustentabilidade ambiental.</w:t>
            </w:r>
          </w:p>
          <w:p w14:paraId="341D28DC" w14:textId="77777777" w:rsidR="00311BCE" w:rsidRPr="00536604" w:rsidRDefault="00311BCE" w:rsidP="00B57699">
            <w:pPr>
              <w:jc w:val="both"/>
              <w:rPr>
                <w:b/>
                <w:sz w:val="22"/>
                <w:szCs w:val="22"/>
              </w:rPr>
            </w:pPr>
          </w:p>
        </w:tc>
        <w:tc>
          <w:tcPr>
            <w:tcW w:w="5103" w:type="dxa"/>
            <w:shd w:val="clear" w:color="auto" w:fill="FFFFFF" w:themeFill="background1"/>
          </w:tcPr>
          <w:p w14:paraId="5DB55E41" w14:textId="77777777" w:rsidR="00311BCE" w:rsidRPr="00536604" w:rsidRDefault="00311BCE" w:rsidP="00B57699">
            <w:pPr>
              <w:jc w:val="both"/>
              <w:rPr>
                <w:b/>
                <w:sz w:val="22"/>
                <w:szCs w:val="22"/>
              </w:rPr>
            </w:pPr>
            <w:r w:rsidRPr="00536604">
              <w:rPr>
                <w:b/>
                <w:sz w:val="22"/>
                <w:szCs w:val="22"/>
              </w:rPr>
              <w:t>Alocação de recursos e áreas especiais de gestão</w:t>
            </w:r>
          </w:p>
          <w:p w14:paraId="11EDD7C1" w14:textId="77777777" w:rsidR="00311BCE" w:rsidRPr="00536604" w:rsidRDefault="00311BCE" w:rsidP="00B57699">
            <w:pPr>
              <w:jc w:val="both"/>
              <w:rPr>
                <w:i/>
                <w:sz w:val="22"/>
                <w:szCs w:val="22"/>
              </w:rPr>
            </w:pPr>
            <w:r w:rsidRPr="00536604">
              <w:rPr>
                <w:i/>
                <w:sz w:val="22"/>
                <w:szCs w:val="22"/>
              </w:rPr>
              <w:t>Para onde a UPC deseja ir e como ela pretende chegar lá?</w:t>
            </w:r>
          </w:p>
          <w:p w14:paraId="6C7ACF6B"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Estratégia para alcançar os principais objetivos da UPC e planos de alocação de recursos para implementar essa estratégia</w:t>
            </w:r>
            <w:r w:rsidR="00D8116F" w:rsidRPr="00D8116F">
              <w:rPr>
                <w:sz w:val="22"/>
                <w:szCs w:val="22"/>
              </w:rPr>
              <w:t xml:space="preserve"> </w:t>
            </w:r>
            <w:r w:rsidRPr="00536604">
              <w:rPr>
                <w:sz w:val="22"/>
                <w:szCs w:val="22"/>
              </w:rPr>
              <w:t xml:space="preserve">no exercício, assim como </w:t>
            </w:r>
            <w:r w:rsidRPr="00536604">
              <w:rPr>
                <w:rFonts w:eastAsia="Calibri"/>
                <w:color w:val="000000"/>
                <w:kern w:val="24"/>
                <w:sz w:val="22"/>
                <w:szCs w:val="22"/>
                <w:lang w:eastAsia="en-US"/>
              </w:rPr>
              <w:t>principais desafios e ações futuras</w:t>
            </w:r>
          </w:p>
          <w:p w14:paraId="3E742093"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orçamentária e financeira</w:t>
            </w:r>
          </w:p>
          <w:p w14:paraId="0812860A"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de pessoas</w:t>
            </w:r>
          </w:p>
          <w:p w14:paraId="49ACF0EB"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de licitação e contratos</w:t>
            </w:r>
          </w:p>
          <w:p w14:paraId="0AA3458F"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patrimonial e infraestrutura</w:t>
            </w:r>
          </w:p>
          <w:p w14:paraId="34B03ECA"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da tecnologia da informação</w:t>
            </w:r>
          </w:p>
          <w:p w14:paraId="68659BEE"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de custos</w:t>
            </w:r>
          </w:p>
          <w:p w14:paraId="1D1BDD6B"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Sustentabilidade ambiental.</w:t>
            </w:r>
          </w:p>
        </w:tc>
        <w:tc>
          <w:tcPr>
            <w:tcW w:w="5670" w:type="dxa"/>
            <w:shd w:val="clear" w:color="auto" w:fill="FFFFFF" w:themeFill="background1"/>
          </w:tcPr>
          <w:p w14:paraId="510A112F" w14:textId="77777777" w:rsidR="00311BCE" w:rsidRPr="00536604" w:rsidRDefault="00311BCE" w:rsidP="00B57699">
            <w:pPr>
              <w:jc w:val="both"/>
              <w:rPr>
                <w:b/>
                <w:sz w:val="22"/>
                <w:szCs w:val="22"/>
              </w:rPr>
            </w:pPr>
            <w:r w:rsidRPr="00536604">
              <w:rPr>
                <w:b/>
                <w:sz w:val="22"/>
                <w:szCs w:val="22"/>
              </w:rPr>
              <w:t>Alocação de recursos e áreas especiais de gestão</w:t>
            </w:r>
          </w:p>
          <w:p w14:paraId="0A422493" w14:textId="77777777" w:rsidR="00311BCE" w:rsidRPr="00536604" w:rsidRDefault="00311BCE" w:rsidP="00B57699">
            <w:pPr>
              <w:jc w:val="both"/>
              <w:rPr>
                <w:sz w:val="22"/>
                <w:szCs w:val="22"/>
              </w:rPr>
            </w:pPr>
            <w:r w:rsidRPr="00536604">
              <w:rPr>
                <w:sz w:val="22"/>
                <w:szCs w:val="22"/>
              </w:rPr>
              <w:t>O objetivo do capítulo é demonstrar como foram gerenciados os recursos orçamentários, humanos, tecnológicos e outros, sob o ponto de vista da eficiência e da conformidade.</w:t>
            </w:r>
          </w:p>
          <w:p w14:paraId="2681CF7B"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5D015E6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Declaração dos titulares da secretaria-executiva</w:t>
            </w:r>
            <w:r w:rsidRPr="00536604" w:rsidDel="007A67B9">
              <w:rPr>
                <w:rFonts w:eastAsia="Calibri"/>
                <w:color w:val="000000"/>
                <w:kern w:val="24"/>
                <w:sz w:val="22"/>
                <w:szCs w:val="22"/>
                <w:lang w:eastAsia="en-US"/>
              </w:rPr>
              <w:t xml:space="preserve"> </w:t>
            </w:r>
            <w:r w:rsidRPr="00536604">
              <w:rPr>
                <w:rFonts w:eastAsia="Calibri"/>
                <w:color w:val="000000"/>
                <w:kern w:val="24"/>
                <w:sz w:val="22"/>
                <w:szCs w:val="22"/>
                <w:lang w:eastAsia="en-US"/>
              </w:rPr>
              <w:t>e da unidade responsável pelo planejamento, orçamento e administração (ou cargos de natureza equivalente), abordando:</w:t>
            </w:r>
          </w:p>
          <w:p w14:paraId="188E67A9" w14:textId="77777777" w:rsidR="00311BCE" w:rsidRPr="00536604" w:rsidRDefault="00311BCE" w:rsidP="00311BCE">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objetivos</w:t>
            </w:r>
            <w:proofErr w:type="gramEnd"/>
            <w:r w:rsidRPr="00536604">
              <w:rPr>
                <w:rFonts w:eastAsia="Calibri"/>
                <w:color w:val="000000"/>
                <w:kern w:val="24"/>
                <w:sz w:val="22"/>
                <w:szCs w:val="22"/>
                <w:lang w:eastAsia="en-US"/>
              </w:rPr>
              <w:t xml:space="preserve"> estratégicos das áreas de gestão da UPC;</w:t>
            </w:r>
          </w:p>
          <w:p w14:paraId="2A2B8F9E" w14:textId="77777777" w:rsidR="00311BCE" w:rsidRPr="00536604" w:rsidRDefault="00311BCE" w:rsidP="00311BCE">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estratégia</w:t>
            </w:r>
            <w:proofErr w:type="gramEnd"/>
            <w:r w:rsidRPr="00536604">
              <w:rPr>
                <w:rFonts w:eastAsia="Calibri"/>
                <w:color w:val="000000"/>
                <w:kern w:val="24"/>
                <w:sz w:val="22"/>
                <w:szCs w:val="22"/>
                <w:lang w:eastAsia="en-US"/>
              </w:rPr>
              <w:t xml:space="preserve"> e metas de implementação dos objetivos;</w:t>
            </w:r>
          </w:p>
          <w:p w14:paraId="64317657" w14:textId="77777777" w:rsidR="00311BCE" w:rsidRPr="00536604" w:rsidRDefault="00311BCE" w:rsidP="00311BCE">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principais</w:t>
            </w:r>
            <w:proofErr w:type="gramEnd"/>
            <w:r w:rsidRPr="00536604">
              <w:rPr>
                <w:rFonts w:eastAsia="Calibri"/>
                <w:color w:val="000000"/>
                <w:kern w:val="24"/>
                <w:sz w:val="22"/>
                <w:szCs w:val="22"/>
                <w:lang w:eastAsia="en-US"/>
              </w:rPr>
              <w:t xml:space="preserve"> ações realizadas, incluindo os contratos </w:t>
            </w:r>
            <w:r w:rsidRPr="00536604">
              <w:rPr>
                <w:sz w:val="22"/>
                <w:szCs w:val="22"/>
              </w:rPr>
              <w:t xml:space="preserve">de serviços </w:t>
            </w:r>
            <w:r w:rsidRPr="00536604">
              <w:rPr>
                <w:rFonts w:eastAsia="Calibri"/>
                <w:color w:val="000000"/>
                <w:kern w:val="24"/>
                <w:sz w:val="22"/>
                <w:szCs w:val="22"/>
                <w:lang w:eastAsia="en-US"/>
              </w:rPr>
              <w:t xml:space="preserve">significativos e os investimentos de capital. Quanto a estes, a avaliação do seu custo-benefício e o impacto sobre os objetivos; </w:t>
            </w:r>
          </w:p>
          <w:p w14:paraId="5895CE8E" w14:textId="77777777" w:rsidR="00311BCE" w:rsidRPr="00536604" w:rsidRDefault="00311BCE" w:rsidP="00311BCE">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desafios</w:t>
            </w:r>
            <w:proofErr w:type="gramEnd"/>
            <w:r w:rsidRPr="00536604">
              <w:rPr>
                <w:rFonts w:eastAsia="Calibri"/>
                <w:color w:val="000000"/>
                <w:kern w:val="24"/>
                <w:sz w:val="22"/>
                <w:szCs w:val="22"/>
                <w:lang w:eastAsia="en-US"/>
              </w:rPr>
              <w:t xml:space="preserve"> e oportunidades;</w:t>
            </w:r>
          </w:p>
          <w:p w14:paraId="06220D75" w14:textId="77777777" w:rsidR="00311BCE" w:rsidRPr="00536604" w:rsidRDefault="00311BCE" w:rsidP="00311BCE">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conformidade</w:t>
            </w:r>
            <w:proofErr w:type="gramEnd"/>
            <w:r w:rsidRPr="00536604">
              <w:rPr>
                <w:rFonts w:eastAsia="Calibri"/>
                <w:color w:val="000000"/>
                <w:kern w:val="24"/>
                <w:sz w:val="22"/>
                <w:szCs w:val="22"/>
                <w:lang w:eastAsia="en-US"/>
              </w:rPr>
              <w:t xml:space="preserve"> com a legislação que rege a UPC;</w:t>
            </w:r>
          </w:p>
          <w:p w14:paraId="636AFC3F" w14:textId="77777777" w:rsidR="00311BCE" w:rsidRPr="00536604" w:rsidRDefault="00311BCE" w:rsidP="00311BCE">
            <w:pPr>
              <w:pStyle w:val="PargrafodaLista"/>
              <w:numPr>
                <w:ilvl w:val="0"/>
                <w:numId w:val="22"/>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confiabilidade</w:t>
            </w:r>
            <w:proofErr w:type="gramEnd"/>
            <w:r w:rsidRPr="00536604">
              <w:rPr>
                <w:rFonts w:eastAsia="Calibri"/>
                <w:color w:val="000000"/>
                <w:kern w:val="24"/>
                <w:sz w:val="22"/>
                <w:szCs w:val="22"/>
                <w:lang w:eastAsia="en-US"/>
              </w:rPr>
              <w:t xml:space="preserve"> das informações prestadas.</w:t>
            </w:r>
          </w:p>
          <w:p w14:paraId="1A5BE65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Demonstração da eficiência e da conformidade legal de áreas relevantes de gestão que contribuíram para o alcance dos resultados da UPC </w:t>
            </w:r>
            <w:r w:rsidRPr="00536604">
              <w:rPr>
                <w:sz w:val="22"/>
                <w:szCs w:val="22"/>
              </w:rPr>
              <w:t>no exercício</w:t>
            </w:r>
            <w:r w:rsidRPr="00536604">
              <w:rPr>
                <w:rFonts w:eastAsia="Calibri"/>
                <w:color w:val="000000"/>
                <w:kern w:val="24"/>
                <w:sz w:val="22"/>
                <w:szCs w:val="22"/>
                <w:lang w:eastAsia="en-US"/>
              </w:rPr>
              <w:t>:</w:t>
            </w:r>
          </w:p>
          <w:p w14:paraId="529F5457"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Gestão de orçamentária e financeira:</w:t>
            </w:r>
          </w:p>
          <w:p w14:paraId="4573802C" w14:textId="77777777" w:rsidR="00311BCE" w:rsidRPr="00536604" w:rsidRDefault="00311BCE" w:rsidP="00311BCE">
            <w:pPr>
              <w:pStyle w:val="PargrafodaLista"/>
              <w:numPr>
                <w:ilvl w:val="1"/>
                <w:numId w:val="23"/>
              </w:numPr>
              <w:contextualSpacing w:val="0"/>
              <w:jc w:val="both"/>
              <w:textAlignment w:val="bottom"/>
              <w:rPr>
                <w:sz w:val="22"/>
                <w:szCs w:val="22"/>
              </w:rPr>
            </w:pPr>
            <w:r w:rsidRPr="00536604">
              <w:rPr>
                <w:sz w:val="22"/>
                <w:szCs w:val="22"/>
              </w:rPr>
              <w:t>Perfil do gasto do ministério: evolução dos últimos anos da execução orçamentária da despesa por função e/ou unidade orçamentária (empenhada, liquidada e paga); detalhamento das despesas por grupo e elemento de despesa; execução orçamentária dos principais programas/projetos/ações;</w:t>
            </w:r>
          </w:p>
          <w:p w14:paraId="7B08E768" w14:textId="77777777" w:rsidR="00311BCE" w:rsidRPr="00536604" w:rsidRDefault="00311BCE" w:rsidP="00311BCE">
            <w:pPr>
              <w:pStyle w:val="PargrafodaLista"/>
              <w:numPr>
                <w:ilvl w:val="1"/>
                <w:numId w:val="23"/>
              </w:numPr>
              <w:contextualSpacing w:val="0"/>
              <w:jc w:val="both"/>
              <w:textAlignment w:val="bottom"/>
              <w:rPr>
                <w:sz w:val="22"/>
                <w:szCs w:val="22"/>
              </w:rPr>
            </w:pPr>
            <w:r w:rsidRPr="00536604">
              <w:rPr>
                <w:sz w:val="22"/>
                <w:szCs w:val="22"/>
              </w:rPr>
              <w:t>Discussão do desempenho atual em comparação com o desempenho esperado/orçado, com uma análise de tendências;</w:t>
            </w:r>
          </w:p>
          <w:p w14:paraId="1FA26F4E" w14:textId="77777777" w:rsidR="00311BCE" w:rsidRPr="00536604" w:rsidRDefault="00311BCE" w:rsidP="00311BCE">
            <w:pPr>
              <w:pStyle w:val="PargrafodaLista"/>
              <w:numPr>
                <w:ilvl w:val="1"/>
                <w:numId w:val="23"/>
              </w:numPr>
              <w:contextualSpacing w:val="0"/>
              <w:jc w:val="both"/>
              <w:textAlignment w:val="bottom"/>
              <w:rPr>
                <w:sz w:val="22"/>
                <w:szCs w:val="22"/>
              </w:rPr>
            </w:pPr>
            <w:r w:rsidRPr="00536604">
              <w:rPr>
                <w:sz w:val="22"/>
                <w:szCs w:val="22"/>
              </w:rPr>
              <w:t>Explicações sobre variações do resultado, com uma reflexão justa e compreensível sobre o desempenho financeiro, consistente com as demonstrações financeiras subjacentes;</w:t>
            </w:r>
          </w:p>
          <w:p w14:paraId="3594B3D1" w14:textId="77777777" w:rsidR="00311BCE" w:rsidRPr="00536604" w:rsidRDefault="00311BCE" w:rsidP="00311BCE">
            <w:pPr>
              <w:pStyle w:val="PargrafodaLista"/>
              <w:numPr>
                <w:ilvl w:val="1"/>
                <w:numId w:val="23"/>
              </w:numPr>
              <w:contextualSpacing w:val="0"/>
              <w:jc w:val="both"/>
              <w:textAlignment w:val="bottom"/>
              <w:rPr>
                <w:sz w:val="22"/>
                <w:szCs w:val="22"/>
              </w:rPr>
            </w:pPr>
            <w:r w:rsidRPr="00536604">
              <w:rPr>
                <w:rFonts w:eastAsia="Calibri"/>
                <w:color w:val="000000"/>
                <w:kern w:val="24"/>
                <w:sz w:val="22"/>
                <w:szCs w:val="22"/>
                <w:lang w:eastAsia="en-US"/>
              </w:rPr>
              <w:t>Principais desafios e ações futuras.</w:t>
            </w:r>
          </w:p>
          <w:p w14:paraId="24C32069"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Gestão de pessoas: </w:t>
            </w:r>
          </w:p>
          <w:p w14:paraId="6CBF1A8F"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7A6AC58C"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Avaliação da força de trabalho: distribuição dos servidores por faixa salarial, gênero, deficiência, etnia, faixa etária, situação funcional, carreira, área de trabalho e unidade de exercício;</w:t>
            </w:r>
          </w:p>
          <w:p w14:paraId="6D2997C0"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Estratégia de recrutamento e alocação de pessoas;</w:t>
            </w:r>
          </w:p>
          <w:p w14:paraId="6FAF7F62"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Detalhamento da despesa de pessoal (ativo, inativo e pensionista), </w:t>
            </w:r>
            <w:r w:rsidRPr="00536604">
              <w:rPr>
                <w:sz w:val="22"/>
                <w:szCs w:val="22"/>
              </w:rPr>
              <w:t>evolução dos últimos anos e justificativa para o aumento/diminuição</w:t>
            </w:r>
            <w:r w:rsidRPr="00536604">
              <w:rPr>
                <w:rFonts w:eastAsia="Calibri"/>
                <w:color w:val="000000"/>
                <w:kern w:val="24"/>
                <w:sz w:val="22"/>
                <w:szCs w:val="22"/>
                <w:lang w:eastAsia="en-US"/>
              </w:rPr>
              <w:t>;</w:t>
            </w:r>
          </w:p>
          <w:p w14:paraId="3AB6BC53"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Avaliação de desempenho, remuneração e meritocracia: gratificação de desempenho, progressão funcional, estágio probatório, tabela de remuneração, </w:t>
            </w:r>
            <w:r w:rsidRPr="00536604">
              <w:rPr>
                <w:rFonts w:eastAsia="Calibri"/>
                <w:color w:val="000000"/>
                <w:kern w:val="24"/>
                <w:sz w:val="22"/>
                <w:szCs w:val="22"/>
                <w:lang w:eastAsia="en-US"/>
              </w:rPr>
              <w:lastRenderedPageBreak/>
              <w:t>percentual de cargos gerenciais ocupados por servidores efetivos, detalhes sobre a igualdade de oportunidades na UPC;</w:t>
            </w:r>
          </w:p>
          <w:p w14:paraId="0F63A162"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Capacitação: estratégia e números;</w:t>
            </w:r>
          </w:p>
          <w:p w14:paraId="7C32EF49" w14:textId="77777777" w:rsidR="00311BCE" w:rsidRPr="00536604" w:rsidRDefault="00311BCE" w:rsidP="00311BCE">
            <w:pPr>
              <w:pStyle w:val="PargrafodaLista"/>
              <w:numPr>
                <w:ilvl w:val="1"/>
                <w:numId w:val="23"/>
              </w:numPr>
              <w:tabs>
                <w:tab w:val="left" w:pos="884"/>
              </w:tabs>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4912B6AF"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de licitações e contratos:</w:t>
            </w:r>
          </w:p>
          <w:p w14:paraId="6DF73874"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403DB506"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Detalhamento dos gastos das contratações por finalidade e especificação dos tipos de serviços contratados para o funcionamento administrativo;</w:t>
            </w:r>
          </w:p>
          <w:p w14:paraId="1A567CD3"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Contratações mais relevantes, sua associação aos objetivos estratégicos e justificativas para essas contratações;</w:t>
            </w:r>
          </w:p>
          <w:p w14:paraId="02FF75BC"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Contratações diretas: participação nos processos de contratação, principais tipos e justificativas para realização;</w:t>
            </w:r>
          </w:p>
          <w:p w14:paraId="1D5460ED"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49171D58"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patrimonial e infraestrutura:</w:t>
            </w:r>
          </w:p>
          <w:p w14:paraId="16CDA11F"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69AAE82B"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investimentos de capital</w:t>
            </w:r>
            <w:r w:rsidRPr="00536604">
              <w:rPr>
                <w:sz w:val="22"/>
                <w:szCs w:val="22"/>
              </w:rPr>
              <w:t xml:space="preserve"> (infraestrutura e equipamentos),</w:t>
            </w:r>
            <w:r w:rsidRPr="00536604">
              <w:rPr>
                <w:rFonts w:eastAsia="Calibri"/>
                <w:color w:val="000000"/>
                <w:kern w:val="24"/>
                <w:sz w:val="22"/>
                <w:szCs w:val="22"/>
                <w:lang w:eastAsia="en-US"/>
              </w:rPr>
              <w:t xml:space="preserve"> avaliação do seu custo-benefício e impacto sobre os objetivos estratégicos</w:t>
            </w:r>
            <w:r w:rsidRPr="00536604">
              <w:rPr>
                <w:sz w:val="22"/>
                <w:szCs w:val="22"/>
              </w:rPr>
              <w:t>;</w:t>
            </w:r>
          </w:p>
          <w:p w14:paraId="5C99A584"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Desfazimento de ativos;</w:t>
            </w:r>
          </w:p>
          <w:p w14:paraId="0D6FA860"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Locações de imóveis e equipamentos;</w:t>
            </w:r>
          </w:p>
          <w:p w14:paraId="0F9B222D"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Mudanças e desmobilizações relevantes;</w:t>
            </w:r>
          </w:p>
          <w:p w14:paraId="4D7ACDC5"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Principais desafios e ações futuras.</w:t>
            </w:r>
          </w:p>
          <w:p w14:paraId="7B34EBF5"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Gestão da </w:t>
            </w:r>
            <w:r w:rsidRPr="00536604">
              <w:rPr>
                <w:sz w:val="22"/>
                <w:szCs w:val="22"/>
              </w:rPr>
              <w:t>tecnologia da informação:</w:t>
            </w:r>
          </w:p>
          <w:p w14:paraId="384D1DB3"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w:t>
            </w:r>
          </w:p>
          <w:p w14:paraId="01793412"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Modelo de governança de TI;</w:t>
            </w:r>
          </w:p>
          <w:p w14:paraId="21CF5A6D"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Montante de recursos aplicados em TI;</w:t>
            </w:r>
          </w:p>
          <w:p w14:paraId="2ACCD0CE"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Contratações mais relevantes de recursos de TI;</w:t>
            </w:r>
          </w:p>
          <w:p w14:paraId="0E733F93"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iniciativas (sistemas e projetos) e resultados na área de TI por cadeia de valor;</w:t>
            </w:r>
          </w:p>
          <w:p w14:paraId="765AA63B"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Segurança da informação;</w:t>
            </w:r>
          </w:p>
          <w:p w14:paraId="0EA813FE"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w:t>
            </w:r>
          </w:p>
          <w:p w14:paraId="6113BE61"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sz w:val="22"/>
                <w:szCs w:val="22"/>
              </w:rPr>
              <w:t>Gestão de custos:</w:t>
            </w:r>
          </w:p>
          <w:p w14:paraId="4D7B778A"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Conformidade legal (art. 50, §3º da Lei Complementar 101, de 4 de maio de 2000, e Portaria STN 157, de 9 de março de 2011);</w:t>
            </w:r>
          </w:p>
          <w:p w14:paraId="14A5BCFB"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Estimativa de custos por área de atuação, demonstrando a distribuição dos recursos consumidos entre as áreas finalísticas e de suporte;</w:t>
            </w:r>
          </w:p>
          <w:p w14:paraId="354FA67A"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Estimativa de custos por programa governamental, demonstrando em que medida eles se relacionam e contribuem para o alcance da missão institucional da UPC;</w:t>
            </w:r>
          </w:p>
          <w:p w14:paraId="4BB26020"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desafios e ações futuras para alocação mais eficiente de recursos e melhoria da qualidade dos gastos públicos.</w:t>
            </w:r>
          </w:p>
          <w:p w14:paraId="151E823F" w14:textId="77777777" w:rsidR="00311BCE" w:rsidRPr="00536604" w:rsidRDefault="00311BCE" w:rsidP="00311BCE">
            <w:pPr>
              <w:pStyle w:val="PargrafodaLista"/>
              <w:numPr>
                <w:ilvl w:val="0"/>
                <w:numId w:val="23"/>
              </w:numPr>
              <w:contextualSpacing w:val="0"/>
              <w:jc w:val="both"/>
              <w:textAlignment w:val="bottom"/>
              <w:rPr>
                <w:rFonts w:eastAsia="Calibri"/>
                <w:color w:val="000000"/>
                <w:kern w:val="24"/>
                <w:sz w:val="22"/>
                <w:szCs w:val="22"/>
                <w:lang w:eastAsia="en-US"/>
              </w:rPr>
            </w:pPr>
            <w:r w:rsidRPr="00536604">
              <w:rPr>
                <w:sz w:val="22"/>
                <w:szCs w:val="22"/>
              </w:rPr>
              <w:t>Sustentabilidade ambiental:</w:t>
            </w:r>
          </w:p>
          <w:p w14:paraId="4E775D76"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lastRenderedPageBreak/>
              <w:t>Critérios de sustentabilidade nas contratações e aquisições;</w:t>
            </w:r>
          </w:p>
          <w:p w14:paraId="54496902"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Ações para redução do consumo de recursos naturais;</w:t>
            </w:r>
          </w:p>
          <w:p w14:paraId="1F4E5635" w14:textId="77777777" w:rsidR="00311BCE" w:rsidRPr="00536604" w:rsidRDefault="00311BCE" w:rsidP="00311BCE">
            <w:pPr>
              <w:pStyle w:val="PargrafodaLista"/>
              <w:numPr>
                <w:ilvl w:val="1"/>
                <w:numId w:val="23"/>
              </w:numPr>
              <w:contextualSpacing w:val="0"/>
              <w:jc w:val="both"/>
              <w:textAlignment w:val="bottom"/>
              <w:rPr>
                <w:rFonts w:eastAsia="Calibri"/>
                <w:color w:val="000000"/>
                <w:kern w:val="24"/>
                <w:sz w:val="22"/>
                <w:szCs w:val="22"/>
                <w:lang w:eastAsia="en-US"/>
              </w:rPr>
            </w:pPr>
            <w:r w:rsidRPr="00536604">
              <w:rPr>
                <w:sz w:val="22"/>
                <w:szCs w:val="22"/>
              </w:rPr>
              <w:t>Redução de resíduos poluentes.</w:t>
            </w:r>
          </w:p>
          <w:p w14:paraId="1B4DF8FC" w14:textId="546DC004" w:rsidR="00311BCE" w:rsidRPr="00536604" w:rsidRDefault="00311BCE" w:rsidP="00B57699">
            <w:pPr>
              <w:jc w:val="both"/>
              <w:textAlignment w:val="bottom"/>
              <w:rPr>
                <w:b/>
                <w:color w:val="000000"/>
                <w:sz w:val="22"/>
                <w:szCs w:val="22"/>
              </w:rPr>
            </w:pPr>
            <w:r w:rsidRPr="00536604">
              <w:rPr>
                <w:b/>
                <w:color w:val="000000"/>
                <w:sz w:val="22"/>
                <w:szCs w:val="22"/>
              </w:rPr>
              <w:t>Forma</w:t>
            </w:r>
            <w:r w:rsidR="003F1D42">
              <w:rPr>
                <w:b/>
                <w:color w:val="000000"/>
                <w:sz w:val="22"/>
                <w:szCs w:val="22"/>
              </w:rPr>
              <w:t xml:space="preserve"> recomendada</w:t>
            </w:r>
          </w:p>
          <w:p w14:paraId="1955AB33" w14:textId="467804B1"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Declaração do SE e do SPOA (ou cargos de natureza equivalente), </w:t>
            </w:r>
            <w:r w:rsidR="008B2FD1">
              <w:rPr>
                <w:rFonts w:eastAsia="Calibri"/>
                <w:color w:val="000000"/>
                <w:kern w:val="24"/>
                <w:sz w:val="22"/>
                <w:szCs w:val="22"/>
                <w:lang w:eastAsia="en-US"/>
              </w:rPr>
              <w:t>máximo</w:t>
            </w:r>
            <w:r w:rsidR="008B2FD1" w:rsidRPr="00536604">
              <w:rPr>
                <w:rFonts w:eastAsia="Calibri"/>
                <w:color w:val="000000"/>
                <w:kern w:val="24"/>
                <w:sz w:val="22"/>
                <w:szCs w:val="22"/>
                <w:lang w:eastAsia="en-US"/>
              </w:rPr>
              <w:t xml:space="preserve"> </w:t>
            </w:r>
            <w:r w:rsidRPr="00536604">
              <w:rPr>
                <w:rFonts w:eastAsia="Calibri"/>
                <w:color w:val="000000"/>
                <w:kern w:val="24"/>
                <w:sz w:val="22"/>
                <w:szCs w:val="22"/>
                <w:lang w:eastAsia="en-US"/>
              </w:rPr>
              <w:t>2 páginas, com foto e assinatura dos responsáveis;</w:t>
            </w:r>
          </w:p>
          <w:p w14:paraId="06957A3B" w14:textId="602647A3"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Demonstração da eficiência e da conformidade legal das áreas relevantes da gestão que contribuíram</w:t>
            </w:r>
            <w:r w:rsidRPr="00536604">
              <w:rPr>
                <w:sz w:val="22"/>
                <w:szCs w:val="22"/>
              </w:rPr>
              <w:t xml:space="preserve"> para o alcance dos resultados da UPC: </w:t>
            </w:r>
            <w:r w:rsidR="008B2FD1">
              <w:rPr>
                <w:rFonts w:eastAsia="Calibri"/>
                <w:color w:val="000000"/>
                <w:kern w:val="24"/>
                <w:sz w:val="22"/>
                <w:szCs w:val="22"/>
                <w:lang w:eastAsia="en-US"/>
              </w:rPr>
              <w:t>máximo</w:t>
            </w:r>
            <w:r w:rsidR="008B2FD1" w:rsidRPr="00536604">
              <w:rPr>
                <w:rFonts w:eastAsia="Calibri"/>
                <w:color w:val="000000"/>
                <w:kern w:val="24"/>
                <w:sz w:val="22"/>
                <w:szCs w:val="22"/>
                <w:lang w:eastAsia="en-US"/>
              </w:rPr>
              <w:t xml:space="preserve"> </w:t>
            </w:r>
            <w:r w:rsidRPr="00536604">
              <w:rPr>
                <w:rFonts w:eastAsia="Calibri"/>
                <w:color w:val="000000"/>
                <w:kern w:val="24"/>
                <w:sz w:val="22"/>
                <w:szCs w:val="22"/>
                <w:lang w:eastAsia="en-US"/>
              </w:rPr>
              <w:t>15 páginas e uso intensivo de infográficos.</w:t>
            </w:r>
          </w:p>
        </w:tc>
      </w:tr>
      <w:tr w:rsidR="00311BCE" w:rsidRPr="00536604" w14:paraId="0F85FC98" w14:textId="77777777" w:rsidTr="00520362">
        <w:tc>
          <w:tcPr>
            <w:tcW w:w="4536" w:type="dxa"/>
            <w:shd w:val="clear" w:color="auto" w:fill="FFFFFF" w:themeFill="background1"/>
          </w:tcPr>
          <w:p w14:paraId="2E9D82F5" w14:textId="77777777" w:rsidR="00311BCE" w:rsidRPr="00536604" w:rsidRDefault="00311BCE" w:rsidP="00B57699">
            <w:pPr>
              <w:jc w:val="both"/>
              <w:rPr>
                <w:b/>
                <w:sz w:val="22"/>
                <w:szCs w:val="22"/>
              </w:rPr>
            </w:pPr>
            <w:r w:rsidRPr="00536604">
              <w:rPr>
                <w:b/>
                <w:sz w:val="22"/>
                <w:szCs w:val="22"/>
              </w:rPr>
              <w:lastRenderedPageBreak/>
              <w:t>Demonstrações contábeis</w:t>
            </w:r>
          </w:p>
          <w:p w14:paraId="6BB5CF56" w14:textId="77777777" w:rsidR="00311BCE" w:rsidRPr="00536604" w:rsidRDefault="00311BCE" w:rsidP="00B57699">
            <w:pPr>
              <w:jc w:val="both"/>
              <w:rPr>
                <w:b/>
                <w:sz w:val="22"/>
                <w:szCs w:val="22"/>
              </w:rPr>
            </w:pPr>
            <w:r w:rsidRPr="00536604">
              <w:rPr>
                <w:rFonts w:eastAsia="Calibri"/>
                <w:color w:val="000000"/>
                <w:kern w:val="24"/>
                <w:sz w:val="22"/>
                <w:szCs w:val="22"/>
              </w:rPr>
              <w:t xml:space="preserve">Demonstração da situação e do desempenho financeiro, orçamentário e patrimonial da gestão no exercício, declaração do contador/opinião dos auditores externos, </w:t>
            </w:r>
            <w:r w:rsidRPr="00536604">
              <w:rPr>
                <w:sz w:val="22"/>
                <w:szCs w:val="22"/>
              </w:rPr>
              <w:t>demonstrativos contábeis e notas explicativas.</w:t>
            </w:r>
          </w:p>
        </w:tc>
        <w:tc>
          <w:tcPr>
            <w:tcW w:w="5103" w:type="dxa"/>
            <w:shd w:val="clear" w:color="auto" w:fill="FFFFFF" w:themeFill="background1"/>
          </w:tcPr>
          <w:p w14:paraId="38E00A62" w14:textId="77777777" w:rsidR="00311BCE" w:rsidRPr="00536604" w:rsidRDefault="00311BCE" w:rsidP="00B57699">
            <w:pPr>
              <w:jc w:val="both"/>
              <w:rPr>
                <w:b/>
                <w:sz w:val="22"/>
                <w:szCs w:val="22"/>
              </w:rPr>
            </w:pPr>
            <w:r w:rsidRPr="00536604">
              <w:rPr>
                <w:b/>
                <w:sz w:val="22"/>
                <w:szCs w:val="22"/>
              </w:rPr>
              <w:t>Demonstrações contábeis</w:t>
            </w:r>
          </w:p>
          <w:p w14:paraId="05FB1A1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rPr>
              <w:t>Declaração do contador/o</w:t>
            </w:r>
            <w:r w:rsidRPr="00536604">
              <w:rPr>
                <w:rFonts w:eastAsia="Calibri"/>
                <w:color w:val="000000"/>
                <w:kern w:val="24"/>
                <w:sz w:val="22"/>
                <w:szCs w:val="22"/>
                <w:lang w:eastAsia="en-US"/>
              </w:rPr>
              <w:t>pinião dos auditores externos</w:t>
            </w:r>
          </w:p>
          <w:p w14:paraId="0D237DBB"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w:t>
            </w:r>
            <w:r w:rsidR="00EB0818">
              <w:rPr>
                <w:rFonts w:eastAsia="Calibri"/>
                <w:color w:val="000000"/>
                <w:kern w:val="24"/>
                <w:sz w:val="22"/>
                <w:szCs w:val="22"/>
                <w:lang w:eastAsia="en-US"/>
              </w:rPr>
              <w:t>ções</w:t>
            </w:r>
            <w:r w:rsidRPr="00536604">
              <w:rPr>
                <w:rFonts w:eastAsia="Calibri"/>
                <w:color w:val="000000"/>
                <w:kern w:val="24"/>
                <w:sz w:val="22"/>
                <w:szCs w:val="22"/>
                <w:lang w:eastAsia="en-US"/>
              </w:rPr>
              <w:t xml:space="preserve"> Contábeis</w:t>
            </w:r>
          </w:p>
          <w:p w14:paraId="259B1EF7"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Notas Explicativas</w:t>
            </w:r>
          </w:p>
        </w:tc>
        <w:tc>
          <w:tcPr>
            <w:tcW w:w="5670" w:type="dxa"/>
            <w:shd w:val="clear" w:color="auto" w:fill="FFFFFF" w:themeFill="background1"/>
          </w:tcPr>
          <w:p w14:paraId="4AFFADC4" w14:textId="77777777" w:rsidR="00311BCE" w:rsidRPr="00536604" w:rsidRDefault="00311BCE" w:rsidP="00B57699">
            <w:pPr>
              <w:jc w:val="both"/>
              <w:rPr>
                <w:b/>
                <w:sz w:val="22"/>
                <w:szCs w:val="22"/>
              </w:rPr>
            </w:pPr>
            <w:r w:rsidRPr="00536604">
              <w:rPr>
                <w:b/>
                <w:sz w:val="22"/>
                <w:szCs w:val="22"/>
              </w:rPr>
              <w:t>Demonstrações contábeis</w:t>
            </w:r>
          </w:p>
          <w:p w14:paraId="4DBA0F58" w14:textId="77777777" w:rsidR="00311BCE" w:rsidRPr="00536604" w:rsidRDefault="00311BCE" w:rsidP="00B57699">
            <w:pPr>
              <w:jc w:val="both"/>
              <w:rPr>
                <w:sz w:val="22"/>
                <w:szCs w:val="22"/>
              </w:rPr>
            </w:pPr>
            <w:r w:rsidRPr="00536604">
              <w:rPr>
                <w:sz w:val="22"/>
                <w:szCs w:val="22"/>
              </w:rPr>
              <w:t>O objetivo do capítulo é demonstrar a situação e o desempenho financeiro, orçamentário e patrimonial da gestão no exercício.</w:t>
            </w:r>
          </w:p>
          <w:p w14:paraId="75EB8652"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678CF27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Declaração do contador geral (ou opinião dos auditores externos), expressando a responsabilidade do contador, as normas contábeis aplicáveis e a asseguração razoável das demonstrações contábeis;</w:t>
            </w:r>
          </w:p>
          <w:p w14:paraId="253DE69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Demonstrações contábeis: Balanço Orçamentário, Balanço Patrimonial, Demonstração das Variações Patrimoniais, Demonstração do Fluxo de Caixa, Balanço Financeiro, Demonstração das Variações do Patrimônio Líquido. </w:t>
            </w:r>
          </w:p>
          <w:p w14:paraId="52C40D44"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rFonts w:eastAsia="Calibri"/>
                <w:color w:val="000000"/>
                <w:kern w:val="24"/>
                <w:sz w:val="22"/>
                <w:szCs w:val="22"/>
                <w:lang w:eastAsia="en-US"/>
              </w:rPr>
              <w:t xml:space="preserve">Notas explicativas: </w:t>
            </w:r>
          </w:p>
          <w:p w14:paraId="463DBE72" w14:textId="77777777" w:rsidR="00311BCE" w:rsidRPr="00536604" w:rsidRDefault="00311BCE" w:rsidP="00311BCE">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Informações gerais: natureza jurídica da entidade; domicílio da entidade; natureza das operações e principais </w:t>
            </w:r>
            <w:r w:rsidRPr="00536604">
              <w:rPr>
                <w:rFonts w:eastAsia="Calibri"/>
                <w:color w:val="000000"/>
                <w:kern w:val="24"/>
                <w:sz w:val="22"/>
                <w:szCs w:val="22"/>
                <w:lang w:eastAsia="en-US"/>
              </w:rPr>
              <w:lastRenderedPageBreak/>
              <w:t xml:space="preserve">atividades da entidade; declaração de conformidade com a legislação e com as normas de contabilidade aplicáveis; </w:t>
            </w:r>
          </w:p>
          <w:p w14:paraId="49C005F6" w14:textId="77777777" w:rsidR="00311BCE" w:rsidRPr="00536604" w:rsidRDefault="00311BCE" w:rsidP="00311BCE">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Resumo das políticas contábeis significativas, por exemplo: bases de mensuração utilizadas, como: a. custo histórico, valor realizável líquido, valor justo ou valor recuperável; b. novas normas e políticas contábeis alteradas; c. julgamentos pela aplicação das políticas contábeis; </w:t>
            </w:r>
          </w:p>
          <w:p w14:paraId="66B19372" w14:textId="77777777" w:rsidR="00311BCE" w:rsidRPr="00536604" w:rsidRDefault="00311BCE" w:rsidP="00311BCE">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Informações de suporte e detalhamento de itens apresentados nas demonstrações contábeis pela ordem em que cada demonstração e cada rubrica sejam apresentadas; </w:t>
            </w:r>
          </w:p>
          <w:p w14:paraId="45725787" w14:textId="77777777" w:rsidR="00311BCE" w:rsidRPr="00536604" w:rsidRDefault="00311BCE" w:rsidP="00311BCE">
            <w:pPr>
              <w:pStyle w:val="PargrafodaLista"/>
              <w:numPr>
                <w:ilvl w:val="0"/>
                <w:numId w:val="24"/>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Outras informações relevantes, por exemplo: passivos contingentes e compromissos contratuais não reconhecidos; divulgações não financeiras, tais como: os objetivos e políticas de gestão do risco financeiro da entidade; pressupostos das estimativas; reconhecimento de inconformidades que podem afetar a compreensão do usuário sobre o desempenho e o direcionamento das operações da entidade no futuro; ajustes decorrentes de omissões e erros de registro.</w:t>
            </w:r>
          </w:p>
          <w:p w14:paraId="4E94AB16" w14:textId="0065A57F" w:rsidR="00311BCE" w:rsidRPr="00536604" w:rsidRDefault="00311BCE" w:rsidP="00B57699">
            <w:pPr>
              <w:spacing w:after="60"/>
              <w:jc w:val="both"/>
              <w:rPr>
                <w:b/>
                <w:color w:val="000000"/>
                <w:sz w:val="22"/>
                <w:szCs w:val="22"/>
              </w:rPr>
            </w:pPr>
            <w:r w:rsidRPr="00536604">
              <w:rPr>
                <w:b/>
                <w:color w:val="000000"/>
                <w:sz w:val="22"/>
                <w:szCs w:val="22"/>
              </w:rPr>
              <w:t>Forma</w:t>
            </w:r>
            <w:r w:rsidR="003F1D42">
              <w:rPr>
                <w:b/>
                <w:color w:val="000000"/>
                <w:sz w:val="22"/>
                <w:szCs w:val="22"/>
              </w:rPr>
              <w:t xml:space="preserve"> recomendada</w:t>
            </w:r>
          </w:p>
          <w:p w14:paraId="38744B0D" w14:textId="3E597E2F"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Declaração do contador, </w:t>
            </w:r>
            <w:r w:rsidR="008B2FD1">
              <w:rPr>
                <w:rFonts w:eastAsia="Calibri"/>
                <w:color w:val="000000"/>
                <w:kern w:val="24"/>
                <w:sz w:val="22"/>
                <w:szCs w:val="22"/>
                <w:lang w:eastAsia="en-US"/>
              </w:rPr>
              <w:t>máximo</w:t>
            </w:r>
            <w:r w:rsidR="008B2FD1" w:rsidRPr="00536604">
              <w:rPr>
                <w:rFonts w:eastAsia="Calibri"/>
                <w:color w:val="000000"/>
                <w:kern w:val="24"/>
                <w:sz w:val="22"/>
                <w:szCs w:val="22"/>
                <w:lang w:eastAsia="en-US"/>
              </w:rPr>
              <w:t xml:space="preserve"> </w:t>
            </w:r>
            <w:r w:rsidRPr="00536604">
              <w:rPr>
                <w:rFonts w:eastAsia="Calibri"/>
                <w:color w:val="000000"/>
                <w:kern w:val="24"/>
                <w:sz w:val="22"/>
                <w:szCs w:val="22"/>
                <w:lang w:eastAsia="en-US"/>
              </w:rPr>
              <w:t>2 páginas, com foto e assinatura do contador;</w:t>
            </w:r>
          </w:p>
          <w:p w14:paraId="6070065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Demonstrações contábeis: máximo 10 páginas, uma demonstração por página, em R$ bilhões, somente informações agregadas.</w:t>
            </w:r>
          </w:p>
          <w:p w14:paraId="44AF2E0A"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Notas explicativas: máximo 30 páginas, em R$ bilhões, somente informações agregadas, destaque para os principais números e para as grandes variações, relevância aos números das demonstrações relacionadas aos </w:t>
            </w:r>
            <w:r w:rsidRPr="00536604">
              <w:rPr>
                <w:rFonts w:eastAsia="Calibri"/>
                <w:color w:val="000000"/>
                <w:kern w:val="24"/>
                <w:sz w:val="22"/>
                <w:szCs w:val="22"/>
                <w:lang w:eastAsia="en-US"/>
              </w:rPr>
              <w:lastRenderedPageBreak/>
              <w:t>resultados da gestão, bem como ao desempenho na gestão dos recursos.</w:t>
            </w:r>
          </w:p>
        </w:tc>
      </w:tr>
      <w:tr w:rsidR="00311BCE" w:rsidRPr="00536604" w14:paraId="7F157BA8" w14:textId="77777777" w:rsidTr="00520362">
        <w:tc>
          <w:tcPr>
            <w:tcW w:w="4536" w:type="dxa"/>
            <w:shd w:val="clear" w:color="auto" w:fill="FFFFFF" w:themeFill="background1"/>
          </w:tcPr>
          <w:p w14:paraId="22380739" w14:textId="77777777" w:rsidR="00311BCE" w:rsidRPr="00536604" w:rsidRDefault="00311BCE" w:rsidP="00B57699">
            <w:pPr>
              <w:jc w:val="both"/>
              <w:rPr>
                <w:b/>
                <w:color w:val="000000"/>
                <w:sz w:val="22"/>
                <w:szCs w:val="22"/>
              </w:rPr>
            </w:pPr>
            <w:r w:rsidRPr="00536604">
              <w:rPr>
                <w:b/>
                <w:color w:val="000000"/>
                <w:sz w:val="22"/>
                <w:szCs w:val="22"/>
              </w:rPr>
              <w:lastRenderedPageBreak/>
              <w:t>Outras informações relevantes</w:t>
            </w:r>
          </w:p>
          <w:p w14:paraId="5A79CB6E" w14:textId="77777777" w:rsidR="00311BCE" w:rsidRPr="00536604" w:rsidRDefault="00311BCE" w:rsidP="00B57699">
            <w:pPr>
              <w:pStyle w:val="PargrafodaLista"/>
              <w:spacing w:before="240" w:after="0"/>
              <w:ind w:left="0"/>
              <w:jc w:val="both"/>
              <w:rPr>
                <w:sz w:val="22"/>
                <w:szCs w:val="22"/>
              </w:rPr>
            </w:pPr>
            <w:r w:rsidRPr="00536604">
              <w:rPr>
                <w:sz w:val="22"/>
                <w:szCs w:val="22"/>
              </w:rPr>
              <w:t xml:space="preserve">Outras informações não relacionados com as demais seções do relatório e que seja de interesse dos dirigentes da unidade prestadora de contas divulgar em razão da relevância e da necessidade de </w:t>
            </w:r>
            <w:proofErr w:type="spellStart"/>
            <w:r w:rsidRPr="00536604">
              <w:rPr>
                <w:i/>
                <w:sz w:val="22"/>
                <w:szCs w:val="22"/>
              </w:rPr>
              <w:t>accountability</w:t>
            </w:r>
            <w:proofErr w:type="spellEnd"/>
            <w:r w:rsidRPr="00536604">
              <w:rPr>
                <w:i/>
                <w:sz w:val="22"/>
                <w:szCs w:val="22"/>
              </w:rPr>
              <w:t xml:space="preserve"> </w:t>
            </w:r>
            <w:r w:rsidRPr="00536604">
              <w:rPr>
                <w:sz w:val="22"/>
                <w:szCs w:val="22"/>
              </w:rPr>
              <w:t xml:space="preserve">dos gestores, entre as quais como a UPC determina os temas a serem incluídos no relatório integrado e como estes temas são quantificados ou avaliados, bem como </w:t>
            </w:r>
            <w:r w:rsidRPr="00536604">
              <w:rPr>
                <w:color w:val="000000"/>
                <w:sz w:val="22"/>
                <w:szCs w:val="22"/>
              </w:rPr>
              <w:t>o tratamento de determinações e recomendações do TCU</w:t>
            </w:r>
            <w:r w:rsidRPr="00536604">
              <w:rPr>
                <w:sz w:val="22"/>
                <w:szCs w:val="22"/>
              </w:rPr>
              <w:t>.</w:t>
            </w:r>
          </w:p>
          <w:p w14:paraId="0D7E1DDF" w14:textId="77777777" w:rsidR="00311BCE" w:rsidRPr="00536604" w:rsidRDefault="00311BCE" w:rsidP="00B57699">
            <w:pPr>
              <w:jc w:val="both"/>
              <w:rPr>
                <w:b/>
                <w:color w:val="000000"/>
                <w:sz w:val="22"/>
                <w:szCs w:val="22"/>
              </w:rPr>
            </w:pPr>
          </w:p>
        </w:tc>
        <w:tc>
          <w:tcPr>
            <w:tcW w:w="5103" w:type="dxa"/>
            <w:shd w:val="clear" w:color="auto" w:fill="FFFFFF" w:themeFill="background1"/>
          </w:tcPr>
          <w:p w14:paraId="3A4C9E7F" w14:textId="77777777" w:rsidR="00311BCE" w:rsidRPr="00536604" w:rsidRDefault="00311BCE" w:rsidP="00B57699">
            <w:pPr>
              <w:jc w:val="both"/>
              <w:rPr>
                <w:b/>
                <w:color w:val="000000"/>
                <w:sz w:val="22"/>
                <w:szCs w:val="22"/>
              </w:rPr>
            </w:pPr>
            <w:r w:rsidRPr="00536604">
              <w:rPr>
                <w:b/>
                <w:color w:val="000000"/>
                <w:sz w:val="22"/>
                <w:szCs w:val="22"/>
              </w:rPr>
              <w:t>Outras informações relevantes</w:t>
            </w:r>
          </w:p>
          <w:p w14:paraId="2869479A"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Como a UPC determina os temas a serem incluídos no relatório integrado e como estes temas são quantificados ou avaliados?</w:t>
            </w:r>
          </w:p>
          <w:p w14:paraId="69ECB423"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rFonts w:eastAsia="Calibri"/>
                <w:color w:val="000000"/>
                <w:kern w:val="24"/>
                <w:sz w:val="22"/>
                <w:szCs w:val="22"/>
              </w:rPr>
              <w:t xml:space="preserve">Resumo do processo para determinar a materialidade das informações e descrição dos limites do relato e de como o limite foi determinado. </w:t>
            </w:r>
          </w:p>
          <w:p w14:paraId="38C790B6"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Tratamento</w:t>
            </w:r>
            <w:r w:rsidRPr="00536604">
              <w:rPr>
                <w:rFonts w:eastAsia="Calibri"/>
                <w:color w:val="000000"/>
                <w:kern w:val="24"/>
                <w:sz w:val="22"/>
                <w:szCs w:val="22"/>
                <w:lang w:eastAsia="en-US"/>
              </w:rPr>
              <w:t xml:space="preserve"> de determinações e recomendações</w:t>
            </w:r>
            <w:r w:rsidRPr="00536604">
              <w:rPr>
                <w:color w:val="000000"/>
                <w:sz w:val="22"/>
                <w:szCs w:val="22"/>
              </w:rPr>
              <w:t xml:space="preserve"> do TCU.</w:t>
            </w:r>
          </w:p>
        </w:tc>
        <w:tc>
          <w:tcPr>
            <w:tcW w:w="5670" w:type="dxa"/>
            <w:shd w:val="clear" w:color="auto" w:fill="FFFFFF" w:themeFill="background1"/>
          </w:tcPr>
          <w:p w14:paraId="5B076278" w14:textId="77777777" w:rsidR="00311BCE" w:rsidRPr="00536604" w:rsidRDefault="00311BCE" w:rsidP="00B57699">
            <w:pPr>
              <w:jc w:val="both"/>
              <w:rPr>
                <w:b/>
                <w:color w:val="000000"/>
                <w:sz w:val="22"/>
                <w:szCs w:val="22"/>
              </w:rPr>
            </w:pPr>
            <w:r w:rsidRPr="00536604">
              <w:rPr>
                <w:b/>
                <w:color w:val="000000"/>
                <w:sz w:val="22"/>
                <w:szCs w:val="22"/>
              </w:rPr>
              <w:t>Outras informações relevantes</w:t>
            </w:r>
          </w:p>
          <w:p w14:paraId="455972F4" w14:textId="77777777" w:rsidR="00311BCE" w:rsidRPr="00536604" w:rsidRDefault="00311BCE" w:rsidP="00B57699">
            <w:pPr>
              <w:autoSpaceDE w:val="0"/>
              <w:autoSpaceDN w:val="0"/>
              <w:adjustRightInd w:val="0"/>
              <w:jc w:val="both"/>
              <w:rPr>
                <w:rFonts w:eastAsia="Calibri"/>
                <w:color w:val="000000"/>
                <w:kern w:val="24"/>
                <w:sz w:val="22"/>
                <w:szCs w:val="22"/>
              </w:rPr>
            </w:pPr>
            <w:r w:rsidRPr="00536604">
              <w:rPr>
                <w:rFonts w:eastAsia="Calibri"/>
                <w:color w:val="000000"/>
                <w:kern w:val="24"/>
                <w:sz w:val="22"/>
                <w:szCs w:val="22"/>
              </w:rPr>
              <w:t>A Estrutura Internacional de Relato Integrado do IIRC estabelece que temas relevantes são aqueles que afetam ou podem afetar a capacidade de uma UPC de gerar valor e que nem todos os temas relevantes são considerados materiais. No processo de determinação da materialidade, é preciso definir os limites do relatório integrado, regido por dois aspectos:</w:t>
            </w:r>
          </w:p>
          <w:p w14:paraId="139BE0EC" w14:textId="77777777" w:rsidR="00311BCE" w:rsidRPr="00536604" w:rsidRDefault="00311BCE" w:rsidP="00311BCE">
            <w:pPr>
              <w:pStyle w:val="PargrafodaLista"/>
              <w:numPr>
                <w:ilvl w:val="0"/>
                <w:numId w:val="25"/>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a</w:t>
            </w:r>
            <w:proofErr w:type="gramEnd"/>
            <w:r w:rsidRPr="00536604">
              <w:rPr>
                <w:rFonts w:eastAsia="Calibri"/>
                <w:color w:val="000000"/>
                <w:kern w:val="24"/>
                <w:sz w:val="22"/>
                <w:szCs w:val="22"/>
                <w:lang w:eastAsia="en-US"/>
              </w:rPr>
              <w:t xml:space="preserve"> entidade do relato financeiro que identifica quais as transações controladas e eventos relacionados devem ser incluídos no relatório financeiro da UPC (conceitos de controle ou influência significativa); </w:t>
            </w:r>
          </w:p>
          <w:p w14:paraId="5E106EE3" w14:textId="77777777" w:rsidR="00311BCE" w:rsidRPr="00536604" w:rsidRDefault="00311BCE" w:rsidP="00311BCE">
            <w:pPr>
              <w:pStyle w:val="PargrafodaLista"/>
              <w:numPr>
                <w:ilvl w:val="0"/>
                <w:numId w:val="25"/>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rPr>
              <w:t>a</w:t>
            </w:r>
            <w:proofErr w:type="gramEnd"/>
            <w:r w:rsidRPr="00536604">
              <w:rPr>
                <w:rFonts w:eastAsia="Calibri"/>
                <w:color w:val="000000"/>
                <w:kern w:val="24"/>
                <w:sz w:val="22"/>
                <w:szCs w:val="22"/>
              </w:rPr>
              <w:t xml:space="preserve"> identificação do riscos, oportunidades e impactos atribuíveis ou associados a outras entidades/partes interessadas, além da entidade do relato financeiro, que tenham um efeito significativo sobre a capacidade da entidade de relatório financeiro de gerar valor (v. 3.17 a 3.35</w:t>
            </w:r>
            <w:r w:rsidR="007A11DC">
              <w:rPr>
                <w:rFonts w:eastAsia="Calibri"/>
                <w:color w:val="000000"/>
                <w:kern w:val="24"/>
                <w:sz w:val="22"/>
                <w:szCs w:val="22"/>
              </w:rPr>
              <w:t xml:space="preserve"> </w:t>
            </w:r>
            <w:r w:rsidR="007A11DC" w:rsidRPr="00536604">
              <w:rPr>
                <w:rFonts w:eastAsia="Calibri"/>
                <w:color w:val="000000"/>
                <w:kern w:val="24"/>
                <w:sz w:val="22"/>
                <w:szCs w:val="22"/>
              </w:rPr>
              <w:t>da estrutura do IIRC</w:t>
            </w:r>
            <w:r w:rsidRPr="00536604">
              <w:rPr>
                <w:rFonts w:eastAsia="Calibri"/>
                <w:color w:val="000000"/>
                <w:kern w:val="24"/>
                <w:sz w:val="22"/>
                <w:szCs w:val="22"/>
              </w:rPr>
              <w:t>).</w:t>
            </w:r>
          </w:p>
          <w:p w14:paraId="377ADA4D" w14:textId="77777777" w:rsidR="00311BCE" w:rsidRPr="00536604" w:rsidRDefault="00311BCE" w:rsidP="00B57699">
            <w:pPr>
              <w:jc w:val="both"/>
              <w:textAlignment w:val="bottom"/>
              <w:rPr>
                <w:rFonts w:eastAsia="Calibri"/>
                <w:color w:val="000000"/>
                <w:kern w:val="24"/>
                <w:sz w:val="22"/>
                <w:szCs w:val="22"/>
              </w:rPr>
            </w:pPr>
            <w:r w:rsidRPr="00536604">
              <w:rPr>
                <w:rFonts w:eastAsia="Calibri"/>
                <w:color w:val="000000"/>
                <w:kern w:val="24"/>
                <w:sz w:val="22"/>
                <w:szCs w:val="22"/>
              </w:rPr>
              <w:t>O processo para determinar a materialidade é tratado nos itens 4.40 a 4.48 da estrutura do IIRC.</w:t>
            </w:r>
          </w:p>
        </w:tc>
      </w:tr>
      <w:tr w:rsidR="00311BCE" w:rsidRPr="00536604" w14:paraId="6541CCDC" w14:textId="77777777" w:rsidTr="00520362">
        <w:tc>
          <w:tcPr>
            <w:tcW w:w="4536" w:type="dxa"/>
            <w:shd w:val="clear" w:color="auto" w:fill="FFFFFF" w:themeFill="background1"/>
          </w:tcPr>
          <w:p w14:paraId="7635EB5E" w14:textId="77777777" w:rsidR="00311BCE" w:rsidRPr="00536604" w:rsidRDefault="00311BCE" w:rsidP="00B57699">
            <w:pPr>
              <w:pStyle w:val="Default"/>
              <w:spacing w:before="120" w:after="120"/>
              <w:rPr>
                <w:b/>
                <w:sz w:val="22"/>
                <w:szCs w:val="22"/>
              </w:rPr>
            </w:pPr>
            <w:r w:rsidRPr="00536604">
              <w:rPr>
                <w:b/>
                <w:sz w:val="22"/>
                <w:szCs w:val="22"/>
              </w:rPr>
              <w:t xml:space="preserve">Anexos e apêndices </w:t>
            </w:r>
          </w:p>
          <w:p w14:paraId="0D93616C" w14:textId="77777777" w:rsidR="00311BCE" w:rsidRPr="00536604" w:rsidRDefault="00311BCE" w:rsidP="00B57699">
            <w:pPr>
              <w:pStyle w:val="Textodecomentrio"/>
              <w:jc w:val="both"/>
              <w:rPr>
                <w:bCs/>
                <w:color w:val="000000"/>
                <w:kern w:val="24"/>
                <w:sz w:val="22"/>
                <w:szCs w:val="22"/>
              </w:rPr>
            </w:pPr>
            <w:r w:rsidRPr="00536604">
              <w:rPr>
                <w:bCs/>
                <w:color w:val="000000"/>
                <w:kern w:val="24"/>
                <w:sz w:val="22"/>
                <w:szCs w:val="22"/>
              </w:rPr>
              <w:t xml:space="preserve">Documentos e informações de elaboração da unidade ou de terceiros úteis à compreensão do texto do relatório ou exigidos pelas normas do Tribunal de Contas da União na prestação de contas, entre as quais declaração de integridade do relato integrado pelos responsáveis pela </w:t>
            </w:r>
            <w:r w:rsidRPr="00536604">
              <w:rPr>
                <w:bCs/>
                <w:color w:val="000000"/>
                <w:kern w:val="24"/>
                <w:sz w:val="22"/>
                <w:szCs w:val="22"/>
              </w:rPr>
              <w:lastRenderedPageBreak/>
              <w:t>governança conforme estabelece a Estrutura Internacional para Relato Integrado.</w:t>
            </w:r>
          </w:p>
          <w:p w14:paraId="6A0D31D7" w14:textId="77777777" w:rsidR="00311BCE" w:rsidRPr="00536604" w:rsidRDefault="00311BCE" w:rsidP="00B57699">
            <w:pPr>
              <w:pStyle w:val="Textodecomentrio"/>
              <w:jc w:val="both"/>
              <w:rPr>
                <w:sz w:val="22"/>
                <w:szCs w:val="22"/>
              </w:rPr>
            </w:pPr>
          </w:p>
        </w:tc>
        <w:tc>
          <w:tcPr>
            <w:tcW w:w="5103" w:type="dxa"/>
            <w:shd w:val="clear" w:color="auto" w:fill="FFFFFF" w:themeFill="background1"/>
          </w:tcPr>
          <w:p w14:paraId="173DFB7F" w14:textId="77777777" w:rsidR="00311BCE" w:rsidRPr="00536604" w:rsidRDefault="00311BCE" w:rsidP="00B57699">
            <w:pPr>
              <w:pStyle w:val="Default"/>
              <w:spacing w:before="120" w:after="120"/>
              <w:rPr>
                <w:b/>
                <w:sz w:val="22"/>
                <w:szCs w:val="22"/>
              </w:rPr>
            </w:pPr>
            <w:r w:rsidRPr="00536604">
              <w:rPr>
                <w:b/>
                <w:sz w:val="22"/>
                <w:szCs w:val="22"/>
              </w:rPr>
              <w:lastRenderedPageBreak/>
              <w:t xml:space="preserve">Anexos e apêndices </w:t>
            </w:r>
          </w:p>
          <w:p w14:paraId="3FE5EA50" w14:textId="77777777" w:rsidR="00311BCE" w:rsidRPr="00536604" w:rsidRDefault="00311BCE" w:rsidP="00311BCE">
            <w:pPr>
              <w:pStyle w:val="PargrafodaLista"/>
              <w:numPr>
                <w:ilvl w:val="0"/>
                <w:numId w:val="20"/>
              </w:numPr>
              <w:ind w:left="318" w:hanging="284"/>
              <w:contextualSpacing w:val="0"/>
              <w:jc w:val="both"/>
              <w:textAlignment w:val="bottom"/>
              <w:rPr>
                <w:b/>
                <w:color w:val="000000"/>
                <w:kern w:val="24"/>
                <w:sz w:val="22"/>
                <w:szCs w:val="22"/>
              </w:rPr>
            </w:pPr>
            <w:r w:rsidRPr="00536604">
              <w:rPr>
                <w:rFonts w:eastAsia="Calibri"/>
                <w:color w:val="000000"/>
                <w:kern w:val="24"/>
                <w:sz w:val="22"/>
                <w:szCs w:val="22"/>
                <w:lang w:eastAsia="en-US"/>
              </w:rPr>
              <w:t>Declarações</w:t>
            </w:r>
            <w:r w:rsidRPr="00536604">
              <w:rPr>
                <w:bCs/>
                <w:color w:val="000000"/>
                <w:kern w:val="24"/>
                <w:sz w:val="22"/>
                <w:szCs w:val="22"/>
              </w:rPr>
              <w:t xml:space="preserve"> de integridade do relato integrado pelos responsáveis pela governança conforme estabelece a Estrutura Internacional para Relato Integrado.</w:t>
            </w:r>
          </w:p>
          <w:p w14:paraId="725ADB39" w14:textId="77777777" w:rsidR="00311BCE" w:rsidRPr="00536604" w:rsidRDefault="00311BCE" w:rsidP="00311BCE">
            <w:pPr>
              <w:pStyle w:val="PargrafodaLista"/>
              <w:numPr>
                <w:ilvl w:val="0"/>
                <w:numId w:val="20"/>
              </w:numPr>
              <w:ind w:left="318" w:hanging="284"/>
              <w:contextualSpacing w:val="0"/>
              <w:jc w:val="both"/>
              <w:textAlignment w:val="bottom"/>
              <w:rPr>
                <w:b/>
                <w:color w:val="000000"/>
                <w:kern w:val="24"/>
                <w:sz w:val="22"/>
                <w:szCs w:val="22"/>
              </w:rPr>
            </w:pPr>
            <w:r w:rsidRPr="00536604">
              <w:rPr>
                <w:bCs/>
                <w:color w:val="000000"/>
                <w:kern w:val="24"/>
                <w:sz w:val="22"/>
                <w:szCs w:val="22"/>
              </w:rPr>
              <w:t>Glossário</w:t>
            </w:r>
          </w:p>
        </w:tc>
        <w:tc>
          <w:tcPr>
            <w:tcW w:w="5670" w:type="dxa"/>
            <w:shd w:val="clear" w:color="auto" w:fill="FFFFFF" w:themeFill="background1"/>
          </w:tcPr>
          <w:p w14:paraId="22990395" w14:textId="77777777" w:rsidR="00311BCE" w:rsidRPr="00536604" w:rsidRDefault="00311BCE" w:rsidP="00B57699">
            <w:pPr>
              <w:pStyle w:val="Default"/>
              <w:spacing w:before="120" w:after="120"/>
              <w:rPr>
                <w:b/>
                <w:sz w:val="22"/>
                <w:szCs w:val="22"/>
              </w:rPr>
            </w:pPr>
            <w:r w:rsidRPr="00536604">
              <w:rPr>
                <w:b/>
                <w:sz w:val="22"/>
                <w:szCs w:val="22"/>
              </w:rPr>
              <w:t xml:space="preserve">Anexos e apêndices </w:t>
            </w:r>
          </w:p>
          <w:p w14:paraId="632B37EE" w14:textId="77777777" w:rsidR="00311BCE" w:rsidRPr="00536604" w:rsidRDefault="00311BCE" w:rsidP="00B57699">
            <w:pPr>
              <w:autoSpaceDE w:val="0"/>
              <w:autoSpaceDN w:val="0"/>
              <w:adjustRightInd w:val="0"/>
              <w:jc w:val="both"/>
              <w:rPr>
                <w:b/>
                <w:bCs/>
                <w:i/>
                <w:iCs/>
                <w:sz w:val="22"/>
                <w:szCs w:val="22"/>
              </w:rPr>
            </w:pPr>
            <w:r w:rsidRPr="00536604">
              <w:rPr>
                <w:rFonts w:eastAsia="Calibri"/>
                <w:color w:val="000000"/>
                <w:kern w:val="24"/>
                <w:sz w:val="22"/>
                <w:szCs w:val="22"/>
              </w:rPr>
              <w:t>A declaração de integridade do relato integrado pelos responsáveis pela governança é estabelecida no item 1.20 da Estrutura Internacional para Relato Integrado do IIRC, nos seguintes termos:</w:t>
            </w:r>
            <w:r w:rsidRPr="00536604">
              <w:rPr>
                <w:b/>
                <w:bCs/>
                <w:i/>
                <w:iCs/>
                <w:sz w:val="22"/>
                <w:szCs w:val="22"/>
              </w:rPr>
              <w:t xml:space="preserve"> </w:t>
            </w:r>
          </w:p>
          <w:p w14:paraId="0C0D8646"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“1.20 Um relatório integrado deve incluir uma declaração dos responsáveis pela governança com: </w:t>
            </w:r>
          </w:p>
          <w:p w14:paraId="7DE4D29D"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lastRenderedPageBreak/>
              <w:t>• o reconhecimento de sua responsabilidade por assegurar a integridade do relatório integrado;</w:t>
            </w:r>
          </w:p>
          <w:p w14:paraId="4E70D129"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o reconhecimento de terem aplicado o pensamento coletivo na preparação e na apresentação do relatório integrado;</w:t>
            </w:r>
          </w:p>
          <w:p w14:paraId="5915031C"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sua opinião ou conclusão quanto ao fato apresentação do relatório integrado estar de acordo com esta Estrutura</w:t>
            </w:r>
          </w:p>
          <w:p w14:paraId="1625349F" w14:textId="77777777" w:rsidR="00311BCE" w:rsidRPr="00536604" w:rsidRDefault="00311BCE" w:rsidP="00520362">
            <w:pPr>
              <w:autoSpaceDE w:val="0"/>
              <w:autoSpaceDN w:val="0"/>
              <w:adjustRightInd w:val="0"/>
              <w:ind w:left="34"/>
              <w:jc w:val="both"/>
              <w:rPr>
                <w:rFonts w:eastAsia="Calibri"/>
                <w:color w:val="000000"/>
                <w:kern w:val="24"/>
                <w:sz w:val="22"/>
                <w:szCs w:val="22"/>
              </w:rPr>
            </w:pPr>
            <w:proofErr w:type="gramStart"/>
            <w:r w:rsidRPr="00536604">
              <w:rPr>
                <w:rFonts w:eastAsia="Calibri"/>
                <w:color w:val="000000"/>
                <w:kern w:val="24"/>
                <w:sz w:val="22"/>
                <w:szCs w:val="22"/>
              </w:rPr>
              <w:t>ou</w:t>
            </w:r>
            <w:proofErr w:type="gramEnd"/>
            <w:r w:rsidRPr="00536604">
              <w:rPr>
                <w:rFonts w:eastAsia="Calibri"/>
                <w:color w:val="000000"/>
                <w:kern w:val="24"/>
                <w:sz w:val="22"/>
                <w:szCs w:val="22"/>
              </w:rPr>
              <w:t>, se ele não contiver tal declaração, ele deve explicar:</w:t>
            </w:r>
          </w:p>
          <w:p w14:paraId="2C607D5F"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 </w:t>
            </w:r>
            <w:r w:rsidR="00D8116F">
              <w:rPr>
                <w:rFonts w:eastAsia="Calibri"/>
                <w:color w:val="000000"/>
                <w:kern w:val="24"/>
                <w:sz w:val="22"/>
                <w:szCs w:val="22"/>
              </w:rPr>
              <w:t>o</w:t>
            </w:r>
            <w:r w:rsidRPr="00536604">
              <w:rPr>
                <w:rFonts w:eastAsia="Calibri"/>
                <w:color w:val="000000"/>
                <w:kern w:val="24"/>
                <w:sz w:val="22"/>
                <w:szCs w:val="22"/>
              </w:rPr>
              <w:t xml:space="preserve"> papel desempenhado pelos responsáveis pela governança na preparação e na apresentação do relatório integrado</w:t>
            </w:r>
            <w:r w:rsidR="00D8116F">
              <w:rPr>
                <w:rFonts w:eastAsia="Calibri"/>
                <w:color w:val="000000"/>
                <w:kern w:val="24"/>
                <w:sz w:val="22"/>
                <w:szCs w:val="22"/>
              </w:rPr>
              <w:t>;</w:t>
            </w:r>
          </w:p>
          <w:p w14:paraId="0CB6758A"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 </w:t>
            </w:r>
            <w:r w:rsidR="00D8116F">
              <w:rPr>
                <w:rFonts w:eastAsia="Calibri"/>
                <w:color w:val="000000"/>
                <w:kern w:val="24"/>
                <w:sz w:val="22"/>
                <w:szCs w:val="22"/>
              </w:rPr>
              <w:t>a</w:t>
            </w:r>
            <w:r w:rsidRPr="00536604">
              <w:rPr>
                <w:rFonts w:eastAsia="Calibri"/>
                <w:color w:val="000000"/>
                <w:kern w:val="24"/>
                <w:sz w:val="22"/>
                <w:szCs w:val="22"/>
              </w:rPr>
              <w:t>s medidas que estão sendo tomadas para incluir tal declaração em relatórios futuros</w:t>
            </w:r>
            <w:r w:rsidR="00D8116F">
              <w:rPr>
                <w:rFonts w:eastAsia="Calibri"/>
                <w:color w:val="000000"/>
                <w:kern w:val="24"/>
                <w:sz w:val="22"/>
                <w:szCs w:val="22"/>
              </w:rPr>
              <w:t>;</w:t>
            </w:r>
          </w:p>
          <w:p w14:paraId="4EC7E24F" w14:textId="77777777" w:rsidR="00311BCE" w:rsidRPr="00536604" w:rsidRDefault="00311BCE" w:rsidP="00D8116F">
            <w:pPr>
              <w:autoSpaceDE w:val="0"/>
              <w:autoSpaceDN w:val="0"/>
              <w:adjustRightInd w:val="0"/>
              <w:ind w:left="34"/>
              <w:jc w:val="both"/>
              <w:rPr>
                <w:b/>
                <w:sz w:val="22"/>
                <w:szCs w:val="22"/>
              </w:rPr>
            </w:pPr>
            <w:r w:rsidRPr="00536604">
              <w:rPr>
                <w:rFonts w:eastAsia="Calibri"/>
                <w:color w:val="000000"/>
                <w:kern w:val="24"/>
                <w:sz w:val="22"/>
                <w:szCs w:val="22"/>
              </w:rPr>
              <w:t xml:space="preserve">• </w:t>
            </w:r>
            <w:r w:rsidR="00D8116F">
              <w:rPr>
                <w:rFonts w:eastAsia="Calibri"/>
                <w:color w:val="000000"/>
                <w:kern w:val="24"/>
                <w:sz w:val="22"/>
                <w:szCs w:val="22"/>
              </w:rPr>
              <w:t>o</w:t>
            </w:r>
            <w:r w:rsidRPr="00536604">
              <w:rPr>
                <w:rFonts w:eastAsia="Calibri"/>
                <w:color w:val="000000"/>
                <w:kern w:val="24"/>
                <w:sz w:val="22"/>
                <w:szCs w:val="22"/>
              </w:rPr>
              <w:t xml:space="preserve"> prazo para fazê-lo, que não deverá ultrapassar o terceiro relatório integrado da UPC que faça referência a </w:t>
            </w:r>
            <w:r w:rsidRPr="00536604">
              <w:rPr>
                <w:rFonts w:eastAsia="Calibri"/>
                <w:kern w:val="24"/>
                <w:sz w:val="22"/>
                <w:szCs w:val="22"/>
              </w:rPr>
              <w:t xml:space="preserve">esta </w:t>
            </w:r>
            <w:proofErr w:type="gramStart"/>
            <w:r w:rsidRPr="00536604">
              <w:rPr>
                <w:rFonts w:eastAsia="Calibri"/>
                <w:kern w:val="24"/>
                <w:sz w:val="22"/>
                <w:szCs w:val="22"/>
              </w:rPr>
              <w:t>Estrutura.”</w:t>
            </w:r>
            <w:proofErr w:type="gramEnd"/>
          </w:p>
        </w:tc>
      </w:tr>
    </w:tbl>
    <w:p w14:paraId="04ADB696" w14:textId="75F43966" w:rsidR="001442EE" w:rsidRDefault="001442EE" w:rsidP="00BD1938">
      <w:pPr>
        <w:spacing w:before="0" w:after="0"/>
      </w:pPr>
    </w:p>
    <w:sectPr w:rsidR="001442EE" w:rsidSect="00BD1938">
      <w:headerReference w:type="default" r:id="rId8"/>
      <w:pgSz w:w="16838" w:h="11906" w:orient="landscape" w:code="9"/>
      <w:pgMar w:top="1871" w:right="851" w:bottom="765" w:left="851" w:header="851"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E269" w14:textId="77777777" w:rsidR="00D4739A" w:rsidRDefault="00D4739A" w:rsidP="000624C9">
      <w:pPr>
        <w:spacing w:before="0" w:after="0"/>
      </w:pPr>
      <w:r>
        <w:separator/>
      </w:r>
    </w:p>
  </w:endnote>
  <w:endnote w:type="continuationSeparator" w:id="0">
    <w:p w14:paraId="712E7C22" w14:textId="77777777" w:rsidR="00D4739A" w:rsidRDefault="00D4739A" w:rsidP="000624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8F41" w14:textId="77777777" w:rsidR="00D4739A" w:rsidRDefault="00D4739A" w:rsidP="000624C9">
      <w:pPr>
        <w:spacing w:before="0" w:after="0"/>
      </w:pPr>
      <w:r>
        <w:separator/>
      </w:r>
    </w:p>
  </w:footnote>
  <w:footnote w:type="continuationSeparator" w:id="0">
    <w:p w14:paraId="2AD74737" w14:textId="77777777" w:rsidR="00D4739A" w:rsidRDefault="00D4739A" w:rsidP="000624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F53B" w14:textId="16669CA7" w:rsidR="00D4739A" w:rsidRPr="00D944B7" w:rsidRDefault="00D4739A" w:rsidP="00D80847">
    <w:pPr>
      <w:pStyle w:val="Cabealho"/>
      <w:ind w:left="-284"/>
    </w:pPr>
    <w:r>
      <w:rPr>
        <w:noProof/>
      </w:rPr>
      <mc:AlternateContent>
        <mc:Choice Requires="wps">
          <w:drawing>
            <wp:anchor distT="0" distB="0" distL="114300" distR="114300" simplePos="0" relativeHeight="251666944" behindDoc="0" locked="0" layoutInCell="1" allowOverlap="1" wp14:anchorId="31F170BA" wp14:editId="79945E0D">
              <wp:simplePos x="0" y="0"/>
              <wp:positionH relativeFrom="margin">
                <wp:posOffset>604520</wp:posOffset>
              </wp:positionH>
              <wp:positionV relativeFrom="page">
                <wp:posOffset>552450</wp:posOffset>
              </wp:positionV>
              <wp:extent cx="4330700" cy="521970"/>
              <wp:effectExtent l="4445"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F320A" w14:textId="77777777" w:rsidR="00D4739A" w:rsidRPr="008B5258" w:rsidRDefault="00D4739A" w:rsidP="00D944B7">
                          <w:pPr>
                            <w:spacing w:before="0" w:after="0"/>
                            <w:rPr>
                              <w:rFonts w:ascii="Arial" w:hAnsi="Arial" w:cs="Arial"/>
                              <w:sz w:val="20"/>
                            </w:rPr>
                          </w:pPr>
                          <w:r w:rsidRPr="008B5258">
                            <w:rPr>
                              <w:rFonts w:ascii="Arial" w:hAnsi="Arial" w:cs="Arial"/>
                              <w:sz w:val="20"/>
                            </w:rPr>
                            <w:t>TRIBUNAL DE CONTAS DA UNIÃO</w:t>
                          </w:r>
                        </w:p>
                        <w:p w14:paraId="7B6F5025" w14:textId="77777777" w:rsidR="00D4739A" w:rsidRDefault="00D4739A" w:rsidP="00D944B7">
                          <w:pPr>
                            <w:spacing w:before="0" w:after="0"/>
                            <w:rPr>
                              <w:rFonts w:ascii="Arial" w:hAnsi="Arial" w:cs="Arial"/>
                              <w:sz w:val="20"/>
                            </w:rPr>
                          </w:pPr>
                          <w:r>
                            <w:rPr>
                              <w:rFonts w:ascii="Arial" w:hAnsi="Arial" w:cs="Arial"/>
                              <w:sz w:val="20"/>
                            </w:rPr>
                            <w:t>Secretaria Adjunta de Controle Externo</w:t>
                          </w:r>
                        </w:p>
                        <w:p w14:paraId="78628337" w14:textId="77777777" w:rsidR="00D4739A" w:rsidRPr="008B5258" w:rsidRDefault="00D4739A" w:rsidP="00D944B7">
                          <w:pPr>
                            <w:spacing w:before="0" w:after="0"/>
                            <w:rPr>
                              <w:rFonts w:ascii="Arial" w:hAnsi="Arial" w:cs="Arial"/>
                              <w:sz w:val="20"/>
                            </w:rPr>
                          </w:pPr>
                          <w:r w:rsidRPr="008B5258">
                            <w:rPr>
                              <w:rFonts w:ascii="Arial" w:hAnsi="Arial" w:cs="Arial"/>
                              <w:sz w:val="20"/>
                            </w:rPr>
                            <w:t>Secretaria de Métodos e Suporte a Controle Externo</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170BA" id="_x0000_t202" coordsize="21600,21600" o:spt="202" path="m,l,21600r21600,l21600,xe">
              <v:stroke joinstyle="miter"/>
              <v:path gradientshapeok="t" o:connecttype="rect"/>
            </v:shapetype>
            <v:shape id="Text Box 3" o:spid="_x0000_s1026" type="#_x0000_t202" style="position:absolute;left:0;text-align:left;margin-left:47.6pt;margin-top:43.5pt;width:341pt;height:41.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43iA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" stroked="f">
              <v:textbox inset=",2.83pt">
                <w:txbxContent>
                  <w:p w14:paraId="083F320A" w14:textId="77777777" w:rsidR="00D4739A" w:rsidRPr="008B5258" w:rsidRDefault="00D4739A" w:rsidP="00D944B7">
                    <w:pPr>
                      <w:spacing w:before="0" w:after="0"/>
                      <w:rPr>
                        <w:rFonts w:ascii="Arial" w:hAnsi="Arial" w:cs="Arial"/>
                        <w:sz w:val="20"/>
                      </w:rPr>
                    </w:pPr>
                    <w:r w:rsidRPr="008B5258">
                      <w:rPr>
                        <w:rFonts w:ascii="Arial" w:hAnsi="Arial" w:cs="Arial"/>
                        <w:sz w:val="20"/>
                      </w:rPr>
                      <w:t>TRIBUNAL DE CONTAS DA UNIÃO</w:t>
                    </w:r>
                  </w:p>
                  <w:p w14:paraId="7B6F5025" w14:textId="77777777" w:rsidR="00D4739A" w:rsidRDefault="00D4739A" w:rsidP="00D944B7">
                    <w:pPr>
                      <w:spacing w:before="0" w:after="0"/>
                      <w:rPr>
                        <w:rFonts w:ascii="Arial" w:hAnsi="Arial" w:cs="Arial"/>
                        <w:sz w:val="20"/>
                      </w:rPr>
                    </w:pPr>
                    <w:r>
                      <w:rPr>
                        <w:rFonts w:ascii="Arial" w:hAnsi="Arial" w:cs="Arial"/>
                        <w:sz w:val="20"/>
                      </w:rPr>
                      <w:t>Secretaria Adjunta de Controle Externo</w:t>
                    </w:r>
                  </w:p>
                  <w:p w14:paraId="78628337" w14:textId="77777777" w:rsidR="00D4739A" w:rsidRPr="008B5258" w:rsidRDefault="00D4739A" w:rsidP="00D944B7">
                    <w:pPr>
                      <w:spacing w:before="0" w:after="0"/>
                      <w:rPr>
                        <w:rFonts w:ascii="Arial" w:hAnsi="Arial" w:cs="Arial"/>
                        <w:sz w:val="20"/>
                      </w:rPr>
                    </w:pPr>
                    <w:r w:rsidRPr="008B5258">
                      <w:rPr>
                        <w:rFonts w:ascii="Arial" w:hAnsi="Arial" w:cs="Arial"/>
                        <w:sz w:val="20"/>
                      </w:rPr>
                      <w:t>Secretaria de Métodos e Suporte a Controle Externo</w:t>
                    </w:r>
                  </w:p>
                </w:txbxContent>
              </v:textbox>
              <w10:wrap anchorx="margin" anchory="page"/>
            </v:shape>
          </w:pict>
        </mc:Fallback>
      </mc:AlternateContent>
    </w:r>
    <w:r>
      <w:rPr>
        <w:noProof/>
      </w:rPr>
      <w:drawing>
        <wp:anchor distT="0" distB="0" distL="114300" distR="114300" simplePos="0" relativeHeight="251664896" behindDoc="0" locked="0" layoutInCell="1" allowOverlap="1" wp14:anchorId="0A7C345F" wp14:editId="59F1DEA0">
          <wp:simplePos x="0" y="0"/>
          <wp:positionH relativeFrom="column">
            <wp:posOffset>0</wp:posOffset>
          </wp:positionH>
          <wp:positionV relativeFrom="paragraph">
            <wp:posOffset>0</wp:posOffset>
          </wp:positionV>
          <wp:extent cx="542925" cy="434340"/>
          <wp:effectExtent l="19050" t="0" r="9525" b="0"/>
          <wp:wrapNone/>
          <wp:docPr id="9" name="Imagem 9"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BE4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49E0"/>
    <w:multiLevelType w:val="hybridMultilevel"/>
    <w:tmpl w:val="A6F4908C"/>
    <w:lvl w:ilvl="0" w:tplc="ED9E7500">
      <w:start w:val="1"/>
      <w:numFmt w:val="bullet"/>
      <w:lvlText w:val=""/>
      <w:lvlJc w:val="left"/>
      <w:pPr>
        <w:tabs>
          <w:tab w:val="num" w:pos="720"/>
        </w:tabs>
        <w:ind w:left="720" w:hanging="360"/>
      </w:pPr>
      <w:rPr>
        <w:rFonts w:ascii="Wingdings" w:hAnsi="Wingdings" w:hint="default"/>
      </w:rPr>
    </w:lvl>
    <w:lvl w:ilvl="1" w:tplc="E7C06E66" w:tentative="1">
      <w:start w:val="1"/>
      <w:numFmt w:val="bullet"/>
      <w:lvlText w:val=""/>
      <w:lvlJc w:val="left"/>
      <w:pPr>
        <w:tabs>
          <w:tab w:val="num" w:pos="1440"/>
        </w:tabs>
        <w:ind w:left="1440" w:hanging="360"/>
      </w:pPr>
      <w:rPr>
        <w:rFonts w:ascii="Wingdings" w:hAnsi="Wingdings" w:hint="default"/>
      </w:rPr>
    </w:lvl>
    <w:lvl w:ilvl="2" w:tplc="D82CB890">
      <w:start w:val="1"/>
      <w:numFmt w:val="bullet"/>
      <w:lvlText w:val=""/>
      <w:lvlJc w:val="left"/>
      <w:pPr>
        <w:tabs>
          <w:tab w:val="num" w:pos="2160"/>
        </w:tabs>
        <w:ind w:left="2160" w:hanging="360"/>
      </w:pPr>
      <w:rPr>
        <w:rFonts w:ascii="Wingdings" w:hAnsi="Wingdings" w:hint="default"/>
      </w:rPr>
    </w:lvl>
    <w:lvl w:ilvl="3" w:tplc="DDB609E4" w:tentative="1">
      <w:start w:val="1"/>
      <w:numFmt w:val="bullet"/>
      <w:lvlText w:val=""/>
      <w:lvlJc w:val="left"/>
      <w:pPr>
        <w:tabs>
          <w:tab w:val="num" w:pos="2880"/>
        </w:tabs>
        <w:ind w:left="2880" w:hanging="360"/>
      </w:pPr>
      <w:rPr>
        <w:rFonts w:ascii="Wingdings" w:hAnsi="Wingdings" w:hint="default"/>
      </w:rPr>
    </w:lvl>
    <w:lvl w:ilvl="4" w:tplc="BA26B61A" w:tentative="1">
      <w:start w:val="1"/>
      <w:numFmt w:val="bullet"/>
      <w:lvlText w:val=""/>
      <w:lvlJc w:val="left"/>
      <w:pPr>
        <w:tabs>
          <w:tab w:val="num" w:pos="3600"/>
        </w:tabs>
        <w:ind w:left="3600" w:hanging="360"/>
      </w:pPr>
      <w:rPr>
        <w:rFonts w:ascii="Wingdings" w:hAnsi="Wingdings" w:hint="default"/>
      </w:rPr>
    </w:lvl>
    <w:lvl w:ilvl="5" w:tplc="A3A0B85C" w:tentative="1">
      <w:start w:val="1"/>
      <w:numFmt w:val="bullet"/>
      <w:lvlText w:val=""/>
      <w:lvlJc w:val="left"/>
      <w:pPr>
        <w:tabs>
          <w:tab w:val="num" w:pos="4320"/>
        </w:tabs>
        <w:ind w:left="4320" w:hanging="360"/>
      </w:pPr>
      <w:rPr>
        <w:rFonts w:ascii="Wingdings" w:hAnsi="Wingdings" w:hint="default"/>
      </w:rPr>
    </w:lvl>
    <w:lvl w:ilvl="6" w:tplc="22300282" w:tentative="1">
      <w:start w:val="1"/>
      <w:numFmt w:val="bullet"/>
      <w:lvlText w:val=""/>
      <w:lvlJc w:val="left"/>
      <w:pPr>
        <w:tabs>
          <w:tab w:val="num" w:pos="5040"/>
        </w:tabs>
        <w:ind w:left="5040" w:hanging="360"/>
      </w:pPr>
      <w:rPr>
        <w:rFonts w:ascii="Wingdings" w:hAnsi="Wingdings" w:hint="default"/>
      </w:rPr>
    </w:lvl>
    <w:lvl w:ilvl="7" w:tplc="836C3B26" w:tentative="1">
      <w:start w:val="1"/>
      <w:numFmt w:val="bullet"/>
      <w:lvlText w:val=""/>
      <w:lvlJc w:val="left"/>
      <w:pPr>
        <w:tabs>
          <w:tab w:val="num" w:pos="5760"/>
        </w:tabs>
        <w:ind w:left="5760" w:hanging="360"/>
      </w:pPr>
      <w:rPr>
        <w:rFonts w:ascii="Wingdings" w:hAnsi="Wingdings" w:hint="default"/>
      </w:rPr>
    </w:lvl>
    <w:lvl w:ilvl="8" w:tplc="7BC0E0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18DA"/>
    <w:multiLevelType w:val="hybridMultilevel"/>
    <w:tmpl w:val="E35A7B4E"/>
    <w:lvl w:ilvl="0" w:tplc="C5609ADE">
      <w:start w:val="1"/>
      <w:numFmt w:val="upperRoman"/>
      <w:lvlText w:val="%1."/>
      <w:lvlJc w:val="left"/>
      <w:pPr>
        <w:ind w:left="1080" w:hanging="72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2930C3"/>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15:restartNumberingAfterBreak="0">
    <w:nsid w:val="0C2F2779"/>
    <w:multiLevelType w:val="hybridMultilevel"/>
    <w:tmpl w:val="A40CCA6E"/>
    <w:lvl w:ilvl="0" w:tplc="04160001">
      <w:start w:val="1"/>
      <w:numFmt w:val="bullet"/>
      <w:lvlText w:val=""/>
      <w:lvlJc w:val="left"/>
      <w:pPr>
        <w:ind w:left="108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215D5B"/>
    <w:multiLevelType w:val="hybridMultilevel"/>
    <w:tmpl w:val="875EC44C"/>
    <w:lvl w:ilvl="0" w:tplc="093225EC">
      <w:start w:val="1"/>
      <w:numFmt w:val="decimal"/>
      <w:lvlText w:val="%1."/>
      <w:lvlJc w:val="left"/>
      <w:pPr>
        <w:tabs>
          <w:tab w:val="num" w:pos="720"/>
        </w:tabs>
        <w:ind w:left="720" w:hanging="360"/>
      </w:pPr>
    </w:lvl>
    <w:lvl w:ilvl="1" w:tplc="18642E38" w:tentative="1">
      <w:start w:val="1"/>
      <w:numFmt w:val="decimal"/>
      <w:lvlText w:val="%2."/>
      <w:lvlJc w:val="left"/>
      <w:pPr>
        <w:tabs>
          <w:tab w:val="num" w:pos="1440"/>
        </w:tabs>
        <w:ind w:left="1440" w:hanging="360"/>
      </w:pPr>
    </w:lvl>
    <w:lvl w:ilvl="2" w:tplc="A0BAB010" w:tentative="1">
      <w:start w:val="1"/>
      <w:numFmt w:val="decimal"/>
      <w:lvlText w:val="%3."/>
      <w:lvlJc w:val="left"/>
      <w:pPr>
        <w:tabs>
          <w:tab w:val="num" w:pos="2160"/>
        </w:tabs>
        <w:ind w:left="2160" w:hanging="360"/>
      </w:pPr>
    </w:lvl>
    <w:lvl w:ilvl="3" w:tplc="F7D2EF14" w:tentative="1">
      <w:start w:val="1"/>
      <w:numFmt w:val="decimal"/>
      <w:lvlText w:val="%4."/>
      <w:lvlJc w:val="left"/>
      <w:pPr>
        <w:tabs>
          <w:tab w:val="num" w:pos="2880"/>
        </w:tabs>
        <w:ind w:left="2880" w:hanging="360"/>
      </w:pPr>
    </w:lvl>
    <w:lvl w:ilvl="4" w:tplc="91283280" w:tentative="1">
      <w:start w:val="1"/>
      <w:numFmt w:val="decimal"/>
      <w:lvlText w:val="%5."/>
      <w:lvlJc w:val="left"/>
      <w:pPr>
        <w:tabs>
          <w:tab w:val="num" w:pos="3600"/>
        </w:tabs>
        <w:ind w:left="3600" w:hanging="360"/>
      </w:pPr>
    </w:lvl>
    <w:lvl w:ilvl="5" w:tplc="BC0246CC" w:tentative="1">
      <w:start w:val="1"/>
      <w:numFmt w:val="decimal"/>
      <w:lvlText w:val="%6."/>
      <w:lvlJc w:val="left"/>
      <w:pPr>
        <w:tabs>
          <w:tab w:val="num" w:pos="4320"/>
        </w:tabs>
        <w:ind w:left="4320" w:hanging="360"/>
      </w:pPr>
    </w:lvl>
    <w:lvl w:ilvl="6" w:tplc="73E82840" w:tentative="1">
      <w:start w:val="1"/>
      <w:numFmt w:val="decimal"/>
      <w:lvlText w:val="%7."/>
      <w:lvlJc w:val="left"/>
      <w:pPr>
        <w:tabs>
          <w:tab w:val="num" w:pos="5040"/>
        </w:tabs>
        <w:ind w:left="5040" w:hanging="360"/>
      </w:pPr>
    </w:lvl>
    <w:lvl w:ilvl="7" w:tplc="67AA7C54" w:tentative="1">
      <w:start w:val="1"/>
      <w:numFmt w:val="decimal"/>
      <w:lvlText w:val="%8."/>
      <w:lvlJc w:val="left"/>
      <w:pPr>
        <w:tabs>
          <w:tab w:val="num" w:pos="5760"/>
        </w:tabs>
        <w:ind w:left="5760" w:hanging="360"/>
      </w:pPr>
    </w:lvl>
    <w:lvl w:ilvl="8" w:tplc="03C01C70" w:tentative="1">
      <w:start w:val="1"/>
      <w:numFmt w:val="decimal"/>
      <w:lvlText w:val="%9."/>
      <w:lvlJc w:val="left"/>
      <w:pPr>
        <w:tabs>
          <w:tab w:val="num" w:pos="6480"/>
        </w:tabs>
        <w:ind w:left="6480" w:hanging="360"/>
      </w:pPr>
    </w:lvl>
  </w:abstractNum>
  <w:abstractNum w:abstractNumId="6" w15:restartNumberingAfterBreak="0">
    <w:nsid w:val="196A1BC6"/>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7" w15:restartNumberingAfterBreak="0">
    <w:nsid w:val="1CDD7169"/>
    <w:multiLevelType w:val="hybridMultilevel"/>
    <w:tmpl w:val="2A36A1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F60271"/>
    <w:multiLevelType w:val="hybridMultilevel"/>
    <w:tmpl w:val="D506C392"/>
    <w:lvl w:ilvl="0" w:tplc="5CF80056">
      <w:start w:val="1"/>
      <w:numFmt w:val="bullet"/>
      <w:lvlText w:val=""/>
      <w:lvlJc w:val="left"/>
      <w:pPr>
        <w:tabs>
          <w:tab w:val="num" w:pos="720"/>
        </w:tabs>
        <w:ind w:left="720" w:hanging="360"/>
      </w:pPr>
      <w:rPr>
        <w:rFonts w:ascii="Wingdings" w:hAnsi="Wingdings" w:hint="default"/>
      </w:rPr>
    </w:lvl>
    <w:lvl w:ilvl="1" w:tplc="63C860DE" w:tentative="1">
      <w:start w:val="1"/>
      <w:numFmt w:val="bullet"/>
      <w:lvlText w:val=""/>
      <w:lvlJc w:val="left"/>
      <w:pPr>
        <w:tabs>
          <w:tab w:val="num" w:pos="1440"/>
        </w:tabs>
        <w:ind w:left="1440" w:hanging="360"/>
      </w:pPr>
      <w:rPr>
        <w:rFonts w:ascii="Wingdings" w:hAnsi="Wingdings" w:hint="default"/>
      </w:rPr>
    </w:lvl>
    <w:lvl w:ilvl="2" w:tplc="BA9EE918">
      <w:start w:val="1"/>
      <w:numFmt w:val="bullet"/>
      <w:lvlText w:val=""/>
      <w:lvlJc w:val="left"/>
      <w:pPr>
        <w:tabs>
          <w:tab w:val="num" w:pos="2160"/>
        </w:tabs>
        <w:ind w:left="2160" w:hanging="360"/>
      </w:pPr>
      <w:rPr>
        <w:rFonts w:ascii="Wingdings" w:hAnsi="Wingdings" w:hint="default"/>
      </w:rPr>
    </w:lvl>
    <w:lvl w:ilvl="3" w:tplc="D962111E" w:tentative="1">
      <w:start w:val="1"/>
      <w:numFmt w:val="bullet"/>
      <w:lvlText w:val=""/>
      <w:lvlJc w:val="left"/>
      <w:pPr>
        <w:tabs>
          <w:tab w:val="num" w:pos="2880"/>
        </w:tabs>
        <w:ind w:left="2880" w:hanging="360"/>
      </w:pPr>
      <w:rPr>
        <w:rFonts w:ascii="Wingdings" w:hAnsi="Wingdings" w:hint="default"/>
      </w:rPr>
    </w:lvl>
    <w:lvl w:ilvl="4" w:tplc="06D46686" w:tentative="1">
      <w:start w:val="1"/>
      <w:numFmt w:val="bullet"/>
      <w:lvlText w:val=""/>
      <w:lvlJc w:val="left"/>
      <w:pPr>
        <w:tabs>
          <w:tab w:val="num" w:pos="3600"/>
        </w:tabs>
        <w:ind w:left="3600" w:hanging="360"/>
      </w:pPr>
      <w:rPr>
        <w:rFonts w:ascii="Wingdings" w:hAnsi="Wingdings" w:hint="default"/>
      </w:rPr>
    </w:lvl>
    <w:lvl w:ilvl="5" w:tplc="89D8849A" w:tentative="1">
      <w:start w:val="1"/>
      <w:numFmt w:val="bullet"/>
      <w:lvlText w:val=""/>
      <w:lvlJc w:val="left"/>
      <w:pPr>
        <w:tabs>
          <w:tab w:val="num" w:pos="4320"/>
        </w:tabs>
        <w:ind w:left="4320" w:hanging="360"/>
      </w:pPr>
      <w:rPr>
        <w:rFonts w:ascii="Wingdings" w:hAnsi="Wingdings" w:hint="default"/>
      </w:rPr>
    </w:lvl>
    <w:lvl w:ilvl="6" w:tplc="82A4700A" w:tentative="1">
      <w:start w:val="1"/>
      <w:numFmt w:val="bullet"/>
      <w:lvlText w:val=""/>
      <w:lvlJc w:val="left"/>
      <w:pPr>
        <w:tabs>
          <w:tab w:val="num" w:pos="5040"/>
        </w:tabs>
        <w:ind w:left="5040" w:hanging="360"/>
      </w:pPr>
      <w:rPr>
        <w:rFonts w:ascii="Wingdings" w:hAnsi="Wingdings" w:hint="default"/>
      </w:rPr>
    </w:lvl>
    <w:lvl w:ilvl="7" w:tplc="C0BEB30E" w:tentative="1">
      <w:start w:val="1"/>
      <w:numFmt w:val="bullet"/>
      <w:lvlText w:val=""/>
      <w:lvlJc w:val="left"/>
      <w:pPr>
        <w:tabs>
          <w:tab w:val="num" w:pos="5760"/>
        </w:tabs>
        <w:ind w:left="5760" w:hanging="360"/>
      </w:pPr>
      <w:rPr>
        <w:rFonts w:ascii="Wingdings" w:hAnsi="Wingdings" w:hint="default"/>
      </w:rPr>
    </w:lvl>
    <w:lvl w:ilvl="8" w:tplc="A03CA3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B6619"/>
    <w:multiLevelType w:val="hybridMultilevel"/>
    <w:tmpl w:val="5532C01A"/>
    <w:lvl w:ilvl="0" w:tplc="04160015">
      <w:start w:val="1"/>
      <w:numFmt w:val="upp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24DD694B"/>
    <w:multiLevelType w:val="hybridMultilevel"/>
    <w:tmpl w:val="701446E8"/>
    <w:lvl w:ilvl="0" w:tplc="96DC2066">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0343A"/>
    <w:multiLevelType w:val="multilevel"/>
    <w:tmpl w:val="93DCF710"/>
    <w:lvl w:ilvl="0">
      <w:start w:val="1"/>
      <w:numFmt w:val="bullet"/>
      <w:lvlText w:val=""/>
      <w:lvlJc w:val="left"/>
      <w:pPr>
        <w:ind w:left="1495" w:hanging="360"/>
      </w:pPr>
      <w:rPr>
        <w:rFonts w:ascii="Symbol" w:hAnsi="Symbol"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3B2D5C"/>
    <w:multiLevelType w:val="hybridMultilevel"/>
    <w:tmpl w:val="B3E4CB3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15:restartNumberingAfterBreak="0">
    <w:nsid w:val="41A059DD"/>
    <w:multiLevelType w:val="hybridMultilevel"/>
    <w:tmpl w:val="98403C9E"/>
    <w:lvl w:ilvl="0" w:tplc="9B8E462C">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91788A"/>
    <w:multiLevelType w:val="hybridMultilevel"/>
    <w:tmpl w:val="4698CA9A"/>
    <w:lvl w:ilvl="0" w:tplc="CD82A422">
      <w:start w:val="2"/>
      <w:numFmt w:val="decimal"/>
      <w:lvlText w:val="%1."/>
      <w:lvlJc w:val="left"/>
      <w:pPr>
        <w:ind w:left="24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DA22E3"/>
    <w:multiLevelType w:val="hybridMultilevel"/>
    <w:tmpl w:val="402C5A00"/>
    <w:lvl w:ilvl="0" w:tplc="04160017">
      <w:start w:val="1"/>
      <w:numFmt w:val="lowerLetter"/>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6" w15:restartNumberingAfterBreak="0">
    <w:nsid w:val="4A5613D5"/>
    <w:multiLevelType w:val="hybridMultilevel"/>
    <w:tmpl w:val="0318F348"/>
    <w:lvl w:ilvl="0" w:tplc="04160015">
      <w:start w:val="1"/>
      <w:numFmt w:val="upp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7" w15:restartNumberingAfterBreak="0">
    <w:nsid w:val="4C132DD1"/>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8" w15:restartNumberingAfterBreak="0">
    <w:nsid w:val="4D0502AF"/>
    <w:multiLevelType w:val="hybridMultilevel"/>
    <w:tmpl w:val="67B2B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DBD11A8"/>
    <w:multiLevelType w:val="hybridMultilevel"/>
    <w:tmpl w:val="21A4DB92"/>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0" w15:restartNumberingAfterBreak="0">
    <w:nsid w:val="4FB34458"/>
    <w:multiLevelType w:val="multilevel"/>
    <w:tmpl w:val="60DA016A"/>
    <w:lvl w:ilvl="0">
      <w:start w:val="2"/>
      <w:numFmt w:val="decimal"/>
      <w:lvlText w:val="%1."/>
      <w:lvlJc w:val="left"/>
      <w:pPr>
        <w:ind w:left="1495"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C7334E"/>
    <w:multiLevelType w:val="hybridMultilevel"/>
    <w:tmpl w:val="89783A1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514624D9"/>
    <w:multiLevelType w:val="multilevel"/>
    <w:tmpl w:val="9F5C0540"/>
    <w:lvl w:ilvl="0">
      <w:start w:val="1"/>
      <w:numFmt w:val="lowerLetter"/>
      <w:lvlText w:val="%1)"/>
      <w:lvlJc w:val="left"/>
      <w:pPr>
        <w:ind w:left="1002" w:hanging="360"/>
      </w:pPr>
      <w:rPr>
        <w:rFonts w:hint="default"/>
      </w:rPr>
    </w:lvl>
    <w:lvl w:ilvl="1">
      <w:start w:val="1"/>
      <w:numFmt w:val="decimal"/>
      <w:lvlText w:val="%1.%2."/>
      <w:lvlJc w:val="left"/>
      <w:pPr>
        <w:ind w:left="1292" w:hanging="432"/>
      </w:pPr>
      <w:rPr>
        <w:rFonts w:hint="default"/>
      </w:rPr>
    </w:lvl>
    <w:lvl w:ilvl="2">
      <w:start w:val="1"/>
      <w:numFmt w:val="decimal"/>
      <w:lvlText w:val="%1.%2.%3."/>
      <w:lvlJc w:val="left"/>
      <w:pPr>
        <w:ind w:left="1724" w:hanging="504"/>
      </w:pPr>
      <w:rPr>
        <w:rFonts w:hint="default"/>
      </w:rPr>
    </w:lvl>
    <w:lvl w:ilvl="3">
      <w:start w:val="1"/>
      <w:numFmt w:val="decimal"/>
      <w:lvlText w:val="%1.%2.%3.%4."/>
      <w:lvlJc w:val="left"/>
      <w:pPr>
        <w:ind w:left="2228" w:hanging="648"/>
      </w:pPr>
      <w:rPr>
        <w:rFonts w:hint="default"/>
      </w:rPr>
    </w:lvl>
    <w:lvl w:ilvl="4">
      <w:start w:val="1"/>
      <w:numFmt w:val="decimal"/>
      <w:lvlText w:val="%1.%2.%3.%4.%5."/>
      <w:lvlJc w:val="left"/>
      <w:pPr>
        <w:ind w:left="2732" w:hanging="792"/>
      </w:pPr>
      <w:rPr>
        <w:rFonts w:hint="default"/>
      </w:rPr>
    </w:lvl>
    <w:lvl w:ilvl="5">
      <w:start w:val="1"/>
      <w:numFmt w:val="decimal"/>
      <w:lvlText w:val="%1.%2.%3.%4.%5.%6."/>
      <w:lvlJc w:val="left"/>
      <w:pPr>
        <w:ind w:left="3236" w:hanging="936"/>
      </w:pPr>
      <w:rPr>
        <w:rFonts w:hint="default"/>
      </w:rPr>
    </w:lvl>
    <w:lvl w:ilvl="6">
      <w:start w:val="1"/>
      <w:numFmt w:val="decimal"/>
      <w:lvlText w:val="%1.%2.%3.%4.%5.%6.%7."/>
      <w:lvlJc w:val="left"/>
      <w:pPr>
        <w:ind w:left="3740" w:hanging="1080"/>
      </w:pPr>
      <w:rPr>
        <w:rFonts w:hint="default"/>
      </w:rPr>
    </w:lvl>
    <w:lvl w:ilvl="7">
      <w:start w:val="1"/>
      <w:numFmt w:val="decimal"/>
      <w:lvlText w:val="%1.%2.%3.%4.%5.%6.%7.%8."/>
      <w:lvlJc w:val="left"/>
      <w:pPr>
        <w:ind w:left="4244" w:hanging="1224"/>
      </w:pPr>
      <w:rPr>
        <w:rFonts w:hint="default"/>
      </w:rPr>
    </w:lvl>
    <w:lvl w:ilvl="8">
      <w:start w:val="1"/>
      <w:numFmt w:val="decimal"/>
      <w:lvlText w:val="%1.%2.%3.%4.%5.%6.%7.%8.%9."/>
      <w:lvlJc w:val="left"/>
      <w:pPr>
        <w:ind w:left="4820" w:hanging="1440"/>
      </w:pPr>
      <w:rPr>
        <w:rFonts w:hint="default"/>
      </w:rPr>
    </w:lvl>
  </w:abstractNum>
  <w:abstractNum w:abstractNumId="23" w15:restartNumberingAfterBreak="0">
    <w:nsid w:val="566103E2"/>
    <w:multiLevelType w:val="multilevel"/>
    <w:tmpl w:val="4BD6BC74"/>
    <w:lvl w:ilvl="0">
      <w:start w:val="1"/>
      <w:numFmt w:val="bullet"/>
      <w:lvlText w:val=""/>
      <w:lvlJc w:val="left"/>
      <w:pPr>
        <w:ind w:left="1002" w:hanging="360"/>
      </w:pPr>
      <w:rPr>
        <w:rFonts w:ascii="Symbol" w:hAnsi="Symbol" w:hint="default"/>
      </w:rPr>
    </w:lvl>
    <w:lvl w:ilvl="1">
      <w:start w:val="1"/>
      <w:numFmt w:val="decimal"/>
      <w:lvlText w:val="%1.%2."/>
      <w:lvlJc w:val="left"/>
      <w:pPr>
        <w:ind w:left="1292" w:hanging="432"/>
      </w:pPr>
      <w:rPr>
        <w:rFonts w:hint="default"/>
      </w:rPr>
    </w:lvl>
    <w:lvl w:ilvl="2">
      <w:start w:val="1"/>
      <w:numFmt w:val="decimal"/>
      <w:lvlText w:val="%1.%2.%3."/>
      <w:lvlJc w:val="left"/>
      <w:pPr>
        <w:ind w:left="1724" w:hanging="504"/>
      </w:pPr>
      <w:rPr>
        <w:rFonts w:hint="default"/>
      </w:rPr>
    </w:lvl>
    <w:lvl w:ilvl="3">
      <w:start w:val="1"/>
      <w:numFmt w:val="decimal"/>
      <w:lvlText w:val="%1.%2.%3.%4."/>
      <w:lvlJc w:val="left"/>
      <w:pPr>
        <w:ind w:left="2228" w:hanging="648"/>
      </w:pPr>
      <w:rPr>
        <w:rFonts w:hint="default"/>
      </w:rPr>
    </w:lvl>
    <w:lvl w:ilvl="4">
      <w:start w:val="1"/>
      <w:numFmt w:val="decimal"/>
      <w:lvlText w:val="%1.%2.%3.%4.%5."/>
      <w:lvlJc w:val="left"/>
      <w:pPr>
        <w:ind w:left="2732" w:hanging="792"/>
      </w:pPr>
      <w:rPr>
        <w:rFonts w:hint="default"/>
      </w:rPr>
    </w:lvl>
    <w:lvl w:ilvl="5">
      <w:start w:val="1"/>
      <w:numFmt w:val="decimal"/>
      <w:lvlText w:val="%1.%2.%3.%4.%5.%6."/>
      <w:lvlJc w:val="left"/>
      <w:pPr>
        <w:ind w:left="3236" w:hanging="936"/>
      </w:pPr>
      <w:rPr>
        <w:rFonts w:hint="default"/>
      </w:rPr>
    </w:lvl>
    <w:lvl w:ilvl="6">
      <w:start w:val="1"/>
      <w:numFmt w:val="decimal"/>
      <w:lvlText w:val="%1.%2.%3.%4.%5.%6.%7."/>
      <w:lvlJc w:val="left"/>
      <w:pPr>
        <w:ind w:left="3740" w:hanging="1080"/>
      </w:pPr>
      <w:rPr>
        <w:rFonts w:hint="default"/>
      </w:rPr>
    </w:lvl>
    <w:lvl w:ilvl="7">
      <w:start w:val="1"/>
      <w:numFmt w:val="decimal"/>
      <w:lvlText w:val="%1.%2.%3.%4.%5.%6.%7.%8."/>
      <w:lvlJc w:val="left"/>
      <w:pPr>
        <w:ind w:left="4244" w:hanging="1224"/>
      </w:pPr>
      <w:rPr>
        <w:rFonts w:hint="default"/>
      </w:rPr>
    </w:lvl>
    <w:lvl w:ilvl="8">
      <w:start w:val="1"/>
      <w:numFmt w:val="decimal"/>
      <w:lvlText w:val="%1.%2.%3.%4.%5.%6.%7.%8.%9."/>
      <w:lvlJc w:val="left"/>
      <w:pPr>
        <w:ind w:left="4820" w:hanging="1440"/>
      </w:pPr>
      <w:rPr>
        <w:rFonts w:hint="default"/>
      </w:rPr>
    </w:lvl>
  </w:abstractNum>
  <w:abstractNum w:abstractNumId="24" w15:restartNumberingAfterBreak="0">
    <w:nsid w:val="5B9067C9"/>
    <w:multiLevelType w:val="multilevel"/>
    <w:tmpl w:val="97366560"/>
    <w:lvl w:ilvl="0">
      <w:start w:val="2"/>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5" w15:restartNumberingAfterBreak="0">
    <w:nsid w:val="617348A2"/>
    <w:multiLevelType w:val="hybridMultilevel"/>
    <w:tmpl w:val="54E8A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910BDC"/>
    <w:multiLevelType w:val="hybridMultilevel"/>
    <w:tmpl w:val="6EAA13A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15:restartNumberingAfterBreak="0">
    <w:nsid w:val="697B6EE5"/>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8" w15:restartNumberingAfterBreak="0">
    <w:nsid w:val="6AD3642C"/>
    <w:multiLevelType w:val="singleLevel"/>
    <w:tmpl w:val="C812D6C6"/>
    <w:lvl w:ilvl="0">
      <w:start w:val="2"/>
      <w:numFmt w:val="decimal"/>
      <w:lvlText w:val="%1."/>
      <w:lvlJc w:val="left"/>
      <w:pPr>
        <w:tabs>
          <w:tab w:val="num" w:pos="360"/>
        </w:tabs>
        <w:ind w:left="0" w:firstLine="0"/>
      </w:pPr>
      <w:rPr>
        <w:rFonts w:hint="default"/>
        <w:b w:val="0"/>
      </w:rPr>
    </w:lvl>
  </w:abstractNum>
  <w:abstractNum w:abstractNumId="29" w15:restartNumberingAfterBreak="0">
    <w:nsid w:val="6BE45CF1"/>
    <w:multiLevelType w:val="hybridMultilevel"/>
    <w:tmpl w:val="A6B85260"/>
    <w:lvl w:ilvl="0" w:tplc="0416000F">
      <w:start w:val="1"/>
      <w:numFmt w:val="decimal"/>
      <w:lvlText w:val="%1."/>
      <w:lvlJc w:val="left"/>
      <w:pPr>
        <w:ind w:left="108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ED23A9C"/>
    <w:multiLevelType w:val="hybridMultilevel"/>
    <w:tmpl w:val="44BAF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636C1D"/>
    <w:multiLevelType w:val="multilevel"/>
    <w:tmpl w:val="D098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842E4C"/>
    <w:multiLevelType w:val="hybridMultilevel"/>
    <w:tmpl w:val="CCCA0F0A"/>
    <w:lvl w:ilvl="0" w:tplc="DB96B792">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D327A8"/>
    <w:multiLevelType w:val="hybridMultilevel"/>
    <w:tmpl w:val="5FB8B424"/>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15:restartNumberingAfterBreak="0">
    <w:nsid w:val="7728192A"/>
    <w:multiLevelType w:val="hybridMultilevel"/>
    <w:tmpl w:val="2788F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2"/>
  </w:num>
  <w:num w:numId="4">
    <w:abstractNumId w:val="9"/>
  </w:num>
  <w:num w:numId="5">
    <w:abstractNumId w:val="21"/>
  </w:num>
  <w:num w:numId="6">
    <w:abstractNumId w:val="12"/>
  </w:num>
  <w:num w:numId="7">
    <w:abstractNumId w:val="7"/>
  </w:num>
  <w:num w:numId="8">
    <w:abstractNumId w:val="20"/>
  </w:num>
  <w:num w:numId="9">
    <w:abstractNumId w:val="24"/>
  </w:num>
  <w:num w:numId="10">
    <w:abstractNumId w:val="33"/>
  </w:num>
  <w:num w:numId="11">
    <w:abstractNumId w:val="0"/>
  </w:num>
  <w:num w:numId="12">
    <w:abstractNumId w:val="23"/>
  </w:num>
  <w:num w:numId="13">
    <w:abstractNumId w:val="16"/>
  </w:num>
  <w:num w:numId="14">
    <w:abstractNumId w:val="22"/>
  </w:num>
  <w:num w:numId="15">
    <w:abstractNumId w:val="26"/>
  </w:num>
  <w:num w:numId="16">
    <w:abstractNumId w:val="5"/>
  </w:num>
  <w:num w:numId="17">
    <w:abstractNumId w:val="1"/>
  </w:num>
  <w:num w:numId="18">
    <w:abstractNumId w:val="8"/>
  </w:num>
  <w:num w:numId="19">
    <w:abstractNumId w:val="14"/>
  </w:num>
  <w:num w:numId="20">
    <w:abstractNumId w:val="4"/>
  </w:num>
  <w:num w:numId="21">
    <w:abstractNumId w:val="29"/>
  </w:num>
  <w:num w:numId="22">
    <w:abstractNumId w:val="3"/>
  </w:num>
  <w:num w:numId="23">
    <w:abstractNumId w:val="27"/>
  </w:num>
  <w:num w:numId="24">
    <w:abstractNumId w:val="6"/>
  </w:num>
  <w:num w:numId="25">
    <w:abstractNumId w:val="17"/>
  </w:num>
  <w:num w:numId="26">
    <w:abstractNumId w:val="31"/>
  </w:num>
  <w:num w:numId="27">
    <w:abstractNumId w:val="28"/>
  </w:num>
  <w:num w:numId="28">
    <w:abstractNumId w:val="2"/>
  </w:num>
  <w:num w:numId="29">
    <w:abstractNumId w:val="34"/>
  </w:num>
  <w:num w:numId="30">
    <w:abstractNumId w:val="15"/>
  </w:num>
  <w:num w:numId="31">
    <w:abstractNumId w:val="19"/>
  </w:num>
  <w:num w:numId="32">
    <w:abstractNumId w:val="11"/>
  </w:num>
  <w:num w:numId="33">
    <w:abstractNumId w:val="25"/>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65"/>
    <w:rsid w:val="000013D6"/>
    <w:rsid w:val="00001C2A"/>
    <w:rsid w:val="00002879"/>
    <w:rsid w:val="00004585"/>
    <w:rsid w:val="0000493E"/>
    <w:rsid w:val="00005DE5"/>
    <w:rsid w:val="00006519"/>
    <w:rsid w:val="000123D6"/>
    <w:rsid w:val="000131B2"/>
    <w:rsid w:val="000172DE"/>
    <w:rsid w:val="00020AC8"/>
    <w:rsid w:val="00021F8D"/>
    <w:rsid w:val="000238FD"/>
    <w:rsid w:val="000351AE"/>
    <w:rsid w:val="00035EC4"/>
    <w:rsid w:val="0003773B"/>
    <w:rsid w:val="00037FBF"/>
    <w:rsid w:val="00040E98"/>
    <w:rsid w:val="00047AD8"/>
    <w:rsid w:val="000508E3"/>
    <w:rsid w:val="00054907"/>
    <w:rsid w:val="00056FBC"/>
    <w:rsid w:val="00057402"/>
    <w:rsid w:val="00057D22"/>
    <w:rsid w:val="000624C9"/>
    <w:rsid w:val="00067F74"/>
    <w:rsid w:val="00070A00"/>
    <w:rsid w:val="00071773"/>
    <w:rsid w:val="000757D0"/>
    <w:rsid w:val="000865C3"/>
    <w:rsid w:val="000867FC"/>
    <w:rsid w:val="00092237"/>
    <w:rsid w:val="000931AB"/>
    <w:rsid w:val="00094D4F"/>
    <w:rsid w:val="000953C1"/>
    <w:rsid w:val="00095725"/>
    <w:rsid w:val="00095802"/>
    <w:rsid w:val="000A112C"/>
    <w:rsid w:val="000B2AFA"/>
    <w:rsid w:val="000B4256"/>
    <w:rsid w:val="000B48D9"/>
    <w:rsid w:val="000B5575"/>
    <w:rsid w:val="000B6665"/>
    <w:rsid w:val="000D5020"/>
    <w:rsid w:val="000D6AEA"/>
    <w:rsid w:val="000D7D96"/>
    <w:rsid w:val="000E2FE7"/>
    <w:rsid w:val="000E641B"/>
    <w:rsid w:val="0010131E"/>
    <w:rsid w:val="00102F83"/>
    <w:rsid w:val="0010475D"/>
    <w:rsid w:val="00104ADE"/>
    <w:rsid w:val="001068C3"/>
    <w:rsid w:val="0010727F"/>
    <w:rsid w:val="00110ED4"/>
    <w:rsid w:val="001128EA"/>
    <w:rsid w:val="00113B37"/>
    <w:rsid w:val="001144FE"/>
    <w:rsid w:val="0011713E"/>
    <w:rsid w:val="0012357D"/>
    <w:rsid w:val="00124191"/>
    <w:rsid w:val="00124E8A"/>
    <w:rsid w:val="0012627A"/>
    <w:rsid w:val="00126539"/>
    <w:rsid w:val="00127D5E"/>
    <w:rsid w:val="00131D3A"/>
    <w:rsid w:val="00132186"/>
    <w:rsid w:val="00132354"/>
    <w:rsid w:val="00133345"/>
    <w:rsid w:val="001337FA"/>
    <w:rsid w:val="001369D1"/>
    <w:rsid w:val="001426A1"/>
    <w:rsid w:val="00143228"/>
    <w:rsid w:val="001442EE"/>
    <w:rsid w:val="00147120"/>
    <w:rsid w:val="00150E0F"/>
    <w:rsid w:val="00151127"/>
    <w:rsid w:val="001537E2"/>
    <w:rsid w:val="00154CF2"/>
    <w:rsid w:val="00161997"/>
    <w:rsid w:val="00163196"/>
    <w:rsid w:val="001641AD"/>
    <w:rsid w:val="00165D34"/>
    <w:rsid w:val="0017014D"/>
    <w:rsid w:val="001727E7"/>
    <w:rsid w:val="00173332"/>
    <w:rsid w:val="0017633D"/>
    <w:rsid w:val="0018236D"/>
    <w:rsid w:val="00182B8C"/>
    <w:rsid w:val="00190CCA"/>
    <w:rsid w:val="00195DFD"/>
    <w:rsid w:val="00197A3D"/>
    <w:rsid w:val="001A2740"/>
    <w:rsid w:val="001A6994"/>
    <w:rsid w:val="001B0A5C"/>
    <w:rsid w:val="001B1F07"/>
    <w:rsid w:val="001B569F"/>
    <w:rsid w:val="001B70E0"/>
    <w:rsid w:val="001C038E"/>
    <w:rsid w:val="001C180A"/>
    <w:rsid w:val="001C30CC"/>
    <w:rsid w:val="001C317F"/>
    <w:rsid w:val="001C33C8"/>
    <w:rsid w:val="001C584E"/>
    <w:rsid w:val="001C6B64"/>
    <w:rsid w:val="001D0A81"/>
    <w:rsid w:val="001D1430"/>
    <w:rsid w:val="001D3AE0"/>
    <w:rsid w:val="001E0218"/>
    <w:rsid w:val="001E07B0"/>
    <w:rsid w:val="001E1B5F"/>
    <w:rsid w:val="001E4147"/>
    <w:rsid w:val="001F609F"/>
    <w:rsid w:val="001F75AF"/>
    <w:rsid w:val="002014F5"/>
    <w:rsid w:val="00203F97"/>
    <w:rsid w:val="00203FEC"/>
    <w:rsid w:val="00205D1B"/>
    <w:rsid w:val="00207514"/>
    <w:rsid w:val="00207E3C"/>
    <w:rsid w:val="00207FE0"/>
    <w:rsid w:val="002140CB"/>
    <w:rsid w:val="002152F8"/>
    <w:rsid w:val="00222B0A"/>
    <w:rsid w:val="00223DF5"/>
    <w:rsid w:val="00226942"/>
    <w:rsid w:val="00226B3C"/>
    <w:rsid w:val="002356EF"/>
    <w:rsid w:val="00235CA6"/>
    <w:rsid w:val="00241E1B"/>
    <w:rsid w:val="00241E4A"/>
    <w:rsid w:val="002455C2"/>
    <w:rsid w:val="00250CA4"/>
    <w:rsid w:val="0025296E"/>
    <w:rsid w:val="00254C2F"/>
    <w:rsid w:val="0025501E"/>
    <w:rsid w:val="0025505C"/>
    <w:rsid w:val="00255447"/>
    <w:rsid w:val="0026297B"/>
    <w:rsid w:val="00266B1F"/>
    <w:rsid w:val="00266C26"/>
    <w:rsid w:val="0027350B"/>
    <w:rsid w:val="0027364F"/>
    <w:rsid w:val="002814D2"/>
    <w:rsid w:val="0028158F"/>
    <w:rsid w:val="0028329A"/>
    <w:rsid w:val="00283E2F"/>
    <w:rsid w:val="00286FD4"/>
    <w:rsid w:val="0028753C"/>
    <w:rsid w:val="002909A1"/>
    <w:rsid w:val="002916DF"/>
    <w:rsid w:val="00291B95"/>
    <w:rsid w:val="0029234A"/>
    <w:rsid w:val="002962B5"/>
    <w:rsid w:val="0029697C"/>
    <w:rsid w:val="00296E5D"/>
    <w:rsid w:val="002A1F94"/>
    <w:rsid w:val="002A3B3F"/>
    <w:rsid w:val="002A7136"/>
    <w:rsid w:val="002A716C"/>
    <w:rsid w:val="002B61DB"/>
    <w:rsid w:val="002B7754"/>
    <w:rsid w:val="002B79E2"/>
    <w:rsid w:val="002C1905"/>
    <w:rsid w:val="002C1CD6"/>
    <w:rsid w:val="002C2684"/>
    <w:rsid w:val="002C53EA"/>
    <w:rsid w:val="002C62C7"/>
    <w:rsid w:val="002D6C10"/>
    <w:rsid w:val="002D717A"/>
    <w:rsid w:val="002E0388"/>
    <w:rsid w:val="002E1561"/>
    <w:rsid w:val="002F03CE"/>
    <w:rsid w:val="002F0960"/>
    <w:rsid w:val="002F0B47"/>
    <w:rsid w:val="002F0F00"/>
    <w:rsid w:val="002F351B"/>
    <w:rsid w:val="002F5AC0"/>
    <w:rsid w:val="00300658"/>
    <w:rsid w:val="00306DF4"/>
    <w:rsid w:val="00311831"/>
    <w:rsid w:val="00311BCE"/>
    <w:rsid w:val="00311D5E"/>
    <w:rsid w:val="00317FD1"/>
    <w:rsid w:val="0032256E"/>
    <w:rsid w:val="00323214"/>
    <w:rsid w:val="00325EB4"/>
    <w:rsid w:val="003361E0"/>
    <w:rsid w:val="00337F79"/>
    <w:rsid w:val="00344C1E"/>
    <w:rsid w:val="00344EB4"/>
    <w:rsid w:val="00345CA7"/>
    <w:rsid w:val="00345E31"/>
    <w:rsid w:val="00347A82"/>
    <w:rsid w:val="003505D0"/>
    <w:rsid w:val="00351CDE"/>
    <w:rsid w:val="00352859"/>
    <w:rsid w:val="00355975"/>
    <w:rsid w:val="00356555"/>
    <w:rsid w:val="00356C8F"/>
    <w:rsid w:val="00356CA5"/>
    <w:rsid w:val="00360452"/>
    <w:rsid w:val="00360671"/>
    <w:rsid w:val="0036102D"/>
    <w:rsid w:val="0036209A"/>
    <w:rsid w:val="0036295B"/>
    <w:rsid w:val="00363C30"/>
    <w:rsid w:val="003705FC"/>
    <w:rsid w:val="00371A6D"/>
    <w:rsid w:val="00374BFC"/>
    <w:rsid w:val="003849D8"/>
    <w:rsid w:val="0038688F"/>
    <w:rsid w:val="00387350"/>
    <w:rsid w:val="00396D39"/>
    <w:rsid w:val="003A5EB7"/>
    <w:rsid w:val="003B6541"/>
    <w:rsid w:val="003B6B3B"/>
    <w:rsid w:val="003B6C46"/>
    <w:rsid w:val="003B7B96"/>
    <w:rsid w:val="003C504B"/>
    <w:rsid w:val="003C5B3E"/>
    <w:rsid w:val="003C642A"/>
    <w:rsid w:val="003D06ED"/>
    <w:rsid w:val="003D2A11"/>
    <w:rsid w:val="003D34C1"/>
    <w:rsid w:val="003D51B3"/>
    <w:rsid w:val="003D58E0"/>
    <w:rsid w:val="003E0723"/>
    <w:rsid w:val="003E61F4"/>
    <w:rsid w:val="003E6825"/>
    <w:rsid w:val="003F1BE9"/>
    <w:rsid w:val="003F1D42"/>
    <w:rsid w:val="003F37AF"/>
    <w:rsid w:val="003F3BBD"/>
    <w:rsid w:val="00400995"/>
    <w:rsid w:val="0040637F"/>
    <w:rsid w:val="004070A7"/>
    <w:rsid w:val="00407358"/>
    <w:rsid w:val="00413318"/>
    <w:rsid w:val="004137A2"/>
    <w:rsid w:val="00415AB6"/>
    <w:rsid w:val="00423F22"/>
    <w:rsid w:val="0042498D"/>
    <w:rsid w:val="00430BEA"/>
    <w:rsid w:val="004324CC"/>
    <w:rsid w:val="004371D9"/>
    <w:rsid w:val="00444167"/>
    <w:rsid w:val="00444937"/>
    <w:rsid w:val="0044660D"/>
    <w:rsid w:val="00453A24"/>
    <w:rsid w:val="0045436D"/>
    <w:rsid w:val="00455E7C"/>
    <w:rsid w:val="00456D3B"/>
    <w:rsid w:val="00461FC4"/>
    <w:rsid w:val="00463DAB"/>
    <w:rsid w:val="004641E5"/>
    <w:rsid w:val="00466BEB"/>
    <w:rsid w:val="00472374"/>
    <w:rsid w:val="004800A8"/>
    <w:rsid w:val="004827C3"/>
    <w:rsid w:val="00483E90"/>
    <w:rsid w:val="00485000"/>
    <w:rsid w:val="00485218"/>
    <w:rsid w:val="00487AFC"/>
    <w:rsid w:val="00496EF6"/>
    <w:rsid w:val="004974E3"/>
    <w:rsid w:val="004A0AC6"/>
    <w:rsid w:val="004A1161"/>
    <w:rsid w:val="004A5F0D"/>
    <w:rsid w:val="004B3BFA"/>
    <w:rsid w:val="004B7228"/>
    <w:rsid w:val="004C0EA2"/>
    <w:rsid w:val="004C11BE"/>
    <w:rsid w:val="004C2348"/>
    <w:rsid w:val="004C3B84"/>
    <w:rsid w:val="004C6F66"/>
    <w:rsid w:val="004D326C"/>
    <w:rsid w:val="004D46D7"/>
    <w:rsid w:val="004D7082"/>
    <w:rsid w:val="004E394D"/>
    <w:rsid w:val="004E490C"/>
    <w:rsid w:val="004F08AA"/>
    <w:rsid w:val="004F37D7"/>
    <w:rsid w:val="004F5EAB"/>
    <w:rsid w:val="00502132"/>
    <w:rsid w:val="00503A4E"/>
    <w:rsid w:val="005120D7"/>
    <w:rsid w:val="00512A25"/>
    <w:rsid w:val="00515097"/>
    <w:rsid w:val="00520362"/>
    <w:rsid w:val="00524BBE"/>
    <w:rsid w:val="00530985"/>
    <w:rsid w:val="00531612"/>
    <w:rsid w:val="0053332D"/>
    <w:rsid w:val="00536604"/>
    <w:rsid w:val="00536F51"/>
    <w:rsid w:val="005421B3"/>
    <w:rsid w:val="005433C1"/>
    <w:rsid w:val="00547CB8"/>
    <w:rsid w:val="00553E90"/>
    <w:rsid w:val="00554653"/>
    <w:rsid w:val="00555653"/>
    <w:rsid w:val="00555967"/>
    <w:rsid w:val="005651FB"/>
    <w:rsid w:val="00565F23"/>
    <w:rsid w:val="00570F07"/>
    <w:rsid w:val="00573248"/>
    <w:rsid w:val="00573A6D"/>
    <w:rsid w:val="00574F76"/>
    <w:rsid w:val="00576141"/>
    <w:rsid w:val="005808D1"/>
    <w:rsid w:val="0058341A"/>
    <w:rsid w:val="00583F64"/>
    <w:rsid w:val="00590F23"/>
    <w:rsid w:val="005917DC"/>
    <w:rsid w:val="005923AD"/>
    <w:rsid w:val="00595D71"/>
    <w:rsid w:val="0059617C"/>
    <w:rsid w:val="00597691"/>
    <w:rsid w:val="005A0F8A"/>
    <w:rsid w:val="005A335A"/>
    <w:rsid w:val="005A4FBE"/>
    <w:rsid w:val="005A50C9"/>
    <w:rsid w:val="005A6320"/>
    <w:rsid w:val="005B054D"/>
    <w:rsid w:val="005B3B4B"/>
    <w:rsid w:val="005B4308"/>
    <w:rsid w:val="005C17FA"/>
    <w:rsid w:val="005C2DD6"/>
    <w:rsid w:val="005C4F71"/>
    <w:rsid w:val="005C6B36"/>
    <w:rsid w:val="005D7FB1"/>
    <w:rsid w:val="005E0E10"/>
    <w:rsid w:val="005E10D8"/>
    <w:rsid w:val="005E184A"/>
    <w:rsid w:val="005E5F2F"/>
    <w:rsid w:val="005E72A5"/>
    <w:rsid w:val="005F2D09"/>
    <w:rsid w:val="005F5DD1"/>
    <w:rsid w:val="00600C5C"/>
    <w:rsid w:val="006011A1"/>
    <w:rsid w:val="00601305"/>
    <w:rsid w:val="006033BD"/>
    <w:rsid w:val="0061097B"/>
    <w:rsid w:val="00611A63"/>
    <w:rsid w:val="00613692"/>
    <w:rsid w:val="006144F3"/>
    <w:rsid w:val="00614BBF"/>
    <w:rsid w:val="00615A4E"/>
    <w:rsid w:val="006173BB"/>
    <w:rsid w:val="00622783"/>
    <w:rsid w:val="00623A10"/>
    <w:rsid w:val="006251C9"/>
    <w:rsid w:val="00627F29"/>
    <w:rsid w:val="006332BA"/>
    <w:rsid w:val="00640451"/>
    <w:rsid w:val="00642895"/>
    <w:rsid w:val="00643807"/>
    <w:rsid w:val="00643F39"/>
    <w:rsid w:val="00644337"/>
    <w:rsid w:val="00653794"/>
    <w:rsid w:val="00653972"/>
    <w:rsid w:val="006541A8"/>
    <w:rsid w:val="006606D0"/>
    <w:rsid w:val="00660AD1"/>
    <w:rsid w:val="0066619C"/>
    <w:rsid w:val="006703CC"/>
    <w:rsid w:val="00670D1E"/>
    <w:rsid w:val="00681F61"/>
    <w:rsid w:val="006845B8"/>
    <w:rsid w:val="00691F0A"/>
    <w:rsid w:val="00692E43"/>
    <w:rsid w:val="006A1B78"/>
    <w:rsid w:val="006A2A8C"/>
    <w:rsid w:val="006A39EB"/>
    <w:rsid w:val="006A3CBA"/>
    <w:rsid w:val="006B2439"/>
    <w:rsid w:val="006B28EC"/>
    <w:rsid w:val="006B4349"/>
    <w:rsid w:val="006C1F26"/>
    <w:rsid w:val="006C33E6"/>
    <w:rsid w:val="006C70C7"/>
    <w:rsid w:val="006D2BC6"/>
    <w:rsid w:val="006D39BA"/>
    <w:rsid w:val="006D3CF6"/>
    <w:rsid w:val="006D6DB6"/>
    <w:rsid w:val="006E1E11"/>
    <w:rsid w:val="006E3781"/>
    <w:rsid w:val="006E4960"/>
    <w:rsid w:val="006E5179"/>
    <w:rsid w:val="006E575F"/>
    <w:rsid w:val="006E5EDF"/>
    <w:rsid w:val="006F1B6D"/>
    <w:rsid w:val="006F77C7"/>
    <w:rsid w:val="0070167B"/>
    <w:rsid w:val="0070168D"/>
    <w:rsid w:val="00701B21"/>
    <w:rsid w:val="00704BA5"/>
    <w:rsid w:val="00711673"/>
    <w:rsid w:val="007123F0"/>
    <w:rsid w:val="007132C3"/>
    <w:rsid w:val="0072076D"/>
    <w:rsid w:val="007245BB"/>
    <w:rsid w:val="007301EE"/>
    <w:rsid w:val="00730421"/>
    <w:rsid w:val="00740003"/>
    <w:rsid w:val="00741A17"/>
    <w:rsid w:val="00741A7C"/>
    <w:rsid w:val="00742217"/>
    <w:rsid w:val="00743C48"/>
    <w:rsid w:val="0074570F"/>
    <w:rsid w:val="007537FB"/>
    <w:rsid w:val="00754185"/>
    <w:rsid w:val="0075616B"/>
    <w:rsid w:val="00760BBB"/>
    <w:rsid w:val="0077367C"/>
    <w:rsid w:val="00774F44"/>
    <w:rsid w:val="0077630E"/>
    <w:rsid w:val="00777213"/>
    <w:rsid w:val="00790477"/>
    <w:rsid w:val="007919EC"/>
    <w:rsid w:val="007933E3"/>
    <w:rsid w:val="00796741"/>
    <w:rsid w:val="007A11DC"/>
    <w:rsid w:val="007A1A35"/>
    <w:rsid w:val="007A2E36"/>
    <w:rsid w:val="007A3F6E"/>
    <w:rsid w:val="007A4840"/>
    <w:rsid w:val="007A48D0"/>
    <w:rsid w:val="007B137A"/>
    <w:rsid w:val="007C00D3"/>
    <w:rsid w:val="007C75EF"/>
    <w:rsid w:val="007D28AE"/>
    <w:rsid w:val="007D4BAF"/>
    <w:rsid w:val="007D6933"/>
    <w:rsid w:val="007E1CD9"/>
    <w:rsid w:val="007E4D7C"/>
    <w:rsid w:val="007F0412"/>
    <w:rsid w:val="007F10D4"/>
    <w:rsid w:val="007F7FCF"/>
    <w:rsid w:val="00801B7A"/>
    <w:rsid w:val="008030C9"/>
    <w:rsid w:val="00807726"/>
    <w:rsid w:val="00810A23"/>
    <w:rsid w:val="00810EB8"/>
    <w:rsid w:val="00811C85"/>
    <w:rsid w:val="008138AC"/>
    <w:rsid w:val="008155B1"/>
    <w:rsid w:val="00817B65"/>
    <w:rsid w:val="00823870"/>
    <w:rsid w:val="00824AEC"/>
    <w:rsid w:val="008250D0"/>
    <w:rsid w:val="00827DDB"/>
    <w:rsid w:val="00831850"/>
    <w:rsid w:val="008409E2"/>
    <w:rsid w:val="0084216E"/>
    <w:rsid w:val="00843A54"/>
    <w:rsid w:val="0084556C"/>
    <w:rsid w:val="008477C2"/>
    <w:rsid w:val="00853C68"/>
    <w:rsid w:val="00854A6A"/>
    <w:rsid w:val="00856A0A"/>
    <w:rsid w:val="00857B67"/>
    <w:rsid w:val="00857EFB"/>
    <w:rsid w:val="008626F7"/>
    <w:rsid w:val="00862D75"/>
    <w:rsid w:val="00864D4B"/>
    <w:rsid w:val="00865C02"/>
    <w:rsid w:val="00865EC2"/>
    <w:rsid w:val="008667DA"/>
    <w:rsid w:val="00866C59"/>
    <w:rsid w:val="00867CE9"/>
    <w:rsid w:val="00874B50"/>
    <w:rsid w:val="0087708A"/>
    <w:rsid w:val="0087740F"/>
    <w:rsid w:val="00886AD7"/>
    <w:rsid w:val="008906BC"/>
    <w:rsid w:val="00890F5B"/>
    <w:rsid w:val="00891060"/>
    <w:rsid w:val="008918D7"/>
    <w:rsid w:val="00894240"/>
    <w:rsid w:val="00895625"/>
    <w:rsid w:val="0089784D"/>
    <w:rsid w:val="008A4A3A"/>
    <w:rsid w:val="008A7204"/>
    <w:rsid w:val="008B2FD1"/>
    <w:rsid w:val="008B3C3B"/>
    <w:rsid w:val="008B5258"/>
    <w:rsid w:val="008B7543"/>
    <w:rsid w:val="008C179A"/>
    <w:rsid w:val="008C70A5"/>
    <w:rsid w:val="008D4277"/>
    <w:rsid w:val="008D73DE"/>
    <w:rsid w:val="008E0D0A"/>
    <w:rsid w:val="008E2DB0"/>
    <w:rsid w:val="008E567F"/>
    <w:rsid w:val="008E7DEC"/>
    <w:rsid w:val="008F576A"/>
    <w:rsid w:val="00900E2B"/>
    <w:rsid w:val="009024B5"/>
    <w:rsid w:val="00904A29"/>
    <w:rsid w:val="00905315"/>
    <w:rsid w:val="00905AEF"/>
    <w:rsid w:val="00907BEB"/>
    <w:rsid w:val="009104E8"/>
    <w:rsid w:val="00911C1A"/>
    <w:rsid w:val="009131BE"/>
    <w:rsid w:val="00914BE5"/>
    <w:rsid w:val="00915399"/>
    <w:rsid w:val="00915A0A"/>
    <w:rsid w:val="009235D2"/>
    <w:rsid w:val="00924AF8"/>
    <w:rsid w:val="009303AF"/>
    <w:rsid w:val="0094113E"/>
    <w:rsid w:val="00942BB6"/>
    <w:rsid w:val="00943896"/>
    <w:rsid w:val="009439C4"/>
    <w:rsid w:val="00943E50"/>
    <w:rsid w:val="009515D2"/>
    <w:rsid w:val="0095371A"/>
    <w:rsid w:val="0095480C"/>
    <w:rsid w:val="009579DC"/>
    <w:rsid w:val="009600ED"/>
    <w:rsid w:val="00964AD8"/>
    <w:rsid w:val="0096519D"/>
    <w:rsid w:val="0096751A"/>
    <w:rsid w:val="009675D4"/>
    <w:rsid w:val="0097069A"/>
    <w:rsid w:val="009762FD"/>
    <w:rsid w:val="009772AA"/>
    <w:rsid w:val="009806FC"/>
    <w:rsid w:val="00984A5A"/>
    <w:rsid w:val="00986744"/>
    <w:rsid w:val="00990432"/>
    <w:rsid w:val="00990FA3"/>
    <w:rsid w:val="00997344"/>
    <w:rsid w:val="00997A12"/>
    <w:rsid w:val="009A288D"/>
    <w:rsid w:val="009A5525"/>
    <w:rsid w:val="009B0842"/>
    <w:rsid w:val="009B15FD"/>
    <w:rsid w:val="009B1DEC"/>
    <w:rsid w:val="009C6441"/>
    <w:rsid w:val="009C7107"/>
    <w:rsid w:val="009D46F3"/>
    <w:rsid w:val="009D591E"/>
    <w:rsid w:val="009D71D1"/>
    <w:rsid w:val="009E0699"/>
    <w:rsid w:val="009E1D1F"/>
    <w:rsid w:val="009E25C9"/>
    <w:rsid w:val="009E2B4D"/>
    <w:rsid w:val="009F0E52"/>
    <w:rsid w:val="009F264B"/>
    <w:rsid w:val="009F4F2B"/>
    <w:rsid w:val="009F5DDA"/>
    <w:rsid w:val="009F702B"/>
    <w:rsid w:val="00A00689"/>
    <w:rsid w:val="00A028D4"/>
    <w:rsid w:val="00A06EA8"/>
    <w:rsid w:val="00A0777B"/>
    <w:rsid w:val="00A11229"/>
    <w:rsid w:val="00A12070"/>
    <w:rsid w:val="00A15312"/>
    <w:rsid w:val="00A16E15"/>
    <w:rsid w:val="00A2028C"/>
    <w:rsid w:val="00A223D3"/>
    <w:rsid w:val="00A226D3"/>
    <w:rsid w:val="00A24539"/>
    <w:rsid w:val="00A269CF"/>
    <w:rsid w:val="00A2702A"/>
    <w:rsid w:val="00A41642"/>
    <w:rsid w:val="00A42AB1"/>
    <w:rsid w:val="00A47CBD"/>
    <w:rsid w:val="00A527B2"/>
    <w:rsid w:val="00A53CF4"/>
    <w:rsid w:val="00A53DED"/>
    <w:rsid w:val="00A55100"/>
    <w:rsid w:val="00A62790"/>
    <w:rsid w:val="00A631A9"/>
    <w:rsid w:val="00A633DC"/>
    <w:rsid w:val="00A660E7"/>
    <w:rsid w:val="00A70896"/>
    <w:rsid w:val="00A83B0B"/>
    <w:rsid w:val="00A83DBC"/>
    <w:rsid w:val="00A85B0A"/>
    <w:rsid w:val="00A86B6A"/>
    <w:rsid w:val="00A91630"/>
    <w:rsid w:val="00AA4490"/>
    <w:rsid w:val="00AA494C"/>
    <w:rsid w:val="00AB4767"/>
    <w:rsid w:val="00AB5ECC"/>
    <w:rsid w:val="00AC22AF"/>
    <w:rsid w:val="00AC4C61"/>
    <w:rsid w:val="00AC5F6D"/>
    <w:rsid w:val="00AC6F44"/>
    <w:rsid w:val="00AE0B58"/>
    <w:rsid w:val="00AE34B7"/>
    <w:rsid w:val="00AE5E45"/>
    <w:rsid w:val="00AF32DE"/>
    <w:rsid w:val="00AF45AD"/>
    <w:rsid w:val="00AF5CA5"/>
    <w:rsid w:val="00AF7F93"/>
    <w:rsid w:val="00B0260F"/>
    <w:rsid w:val="00B13E92"/>
    <w:rsid w:val="00B16524"/>
    <w:rsid w:val="00B17268"/>
    <w:rsid w:val="00B21421"/>
    <w:rsid w:val="00B21881"/>
    <w:rsid w:val="00B2755A"/>
    <w:rsid w:val="00B27E43"/>
    <w:rsid w:val="00B3140C"/>
    <w:rsid w:val="00B320E1"/>
    <w:rsid w:val="00B37E9D"/>
    <w:rsid w:val="00B37FEB"/>
    <w:rsid w:val="00B40238"/>
    <w:rsid w:val="00B40579"/>
    <w:rsid w:val="00B40CDB"/>
    <w:rsid w:val="00B45130"/>
    <w:rsid w:val="00B465EC"/>
    <w:rsid w:val="00B522FD"/>
    <w:rsid w:val="00B55047"/>
    <w:rsid w:val="00B57699"/>
    <w:rsid w:val="00B6125E"/>
    <w:rsid w:val="00B6198D"/>
    <w:rsid w:val="00B67D64"/>
    <w:rsid w:val="00B71CD7"/>
    <w:rsid w:val="00B7466A"/>
    <w:rsid w:val="00B75B8D"/>
    <w:rsid w:val="00B83721"/>
    <w:rsid w:val="00B83DE6"/>
    <w:rsid w:val="00B866E8"/>
    <w:rsid w:val="00B9748C"/>
    <w:rsid w:val="00BA1218"/>
    <w:rsid w:val="00BA4280"/>
    <w:rsid w:val="00BB2DE7"/>
    <w:rsid w:val="00BB33DB"/>
    <w:rsid w:val="00BB6B71"/>
    <w:rsid w:val="00BC1B3A"/>
    <w:rsid w:val="00BC2621"/>
    <w:rsid w:val="00BC691E"/>
    <w:rsid w:val="00BD0306"/>
    <w:rsid w:val="00BD0711"/>
    <w:rsid w:val="00BD1938"/>
    <w:rsid w:val="00BD244B"/>
    <w:rsid w:val="00BD5A11"/>
    <w:rsid w:val="00BD6C36"/>
    <w:rsid w:val="00BD76DE"/>
    <w:rsid w:val="00BE1706"/>
    <w:rsid w:val="00BE22E0"/>
    <w:rsid w:val="00BE5863"/>
    <w:rsid w:val="00BE5E08"/>
    <w:rsid w:val="00BE6012"/>
    <w:rsid w:val="00BF0A47"/>
    <w:rsid w:val="00BF10E8"/>
    <w:rsid w:val="00BF68CB"/>
    <w:rsid w:val="00C00439"/>
    <w:rsid w:val="00C01597"/>
    <w:rsid w:val="00C02E31"/>
    <w:rsid w:val="00C03102"/>
    <w:rsid w:val="00C039D9"/>
    <w:rsid w:val="00C03BC4"/>
    <w:rsid w:val="00C12079"/>
    <w:rsid w:val="00C25AE3"/>
    <w:rsid w:val="00C338F2"/>
    <w:rsid w:val="00C34D6C"/>
    <w:rsid w:val="00C35CD3"/>
    <w:rsid w:val="00C37026"/>
    <w:rsid w:val="00C370E7"/>
    <w:rsid w:val="00C4507B"/>
    <w:rsid w:val="00C53863"/>
    <w:rsid w:val="00C62D8F"/>
    <w:rsid w:val="00C707B5"/>
    <w:rsid w:val="00C7317C"/>
    <w:rsid w:val="00C81B37"/>
    <w:rsid w:val="00C83F5A"/>
    <w:rsid w:val="00C85A8D"/>
    <w:rsid w:val="00C86353"/>
    <w:rsid w:val="00CA73C6"/>
    <w:rsid w:val="00CB0C79"/>
    <w:rsid w:val="00CB2E9D"/>
    <w:rsid w:val="00CC47AC"/>
    <w:rsid w:val="00CC47D3"/>
    <w:rsid w:val="00CD3DC8"/>
    <w:rsid w:val="00CE0ECC"/>
    <w:rsid w:val="00CE4147"/>
    <w:rsid w:val="00CE70BE"/>
    <w:rsid w:val="00CE73AB"/>
    <w:rsid w:val="00CE7A24"/>
    <w:rsid w:val="00CE7E87"/>
    <w:rsid w:val="00CF2794"/>
    <w:rsid w:val="00CF3834"/>
    <w:rsid w:val="00CF43FD"/>
    <w:rsid w:val="00CF4B88"/>
    <w:rsid w:val="00CF70EB"/>
    <w:rsid w:val="00D002F1"/>
    <w:rsid w:val="00D00D02"/>
    <w:rsid w:val="00D01465"/>
    <w:rsid w:val="00D053E6"/>
    <w:rsid w:val="00D05553"/>
    <w:rsid w:val="00D15BCB"/>
    <w:rsid w:val="00D16082"/>
    <w:rsid w:val="00D209DB"/>
    <w:rsid w:val="00D20F5E"/>
    <w:rsid w:val="00D245C2"/>
    <w:rsid w:val="00D2599D"/>
    <w:rsid w:val="00D2704F"/>
    <w:rsid w:val="00D27F46"/>
    <w:rsid w:val="00D36284"/>
    <w:rsid w:val="00D42D39"/>
    <w:rsid w:val="00D43982"/>
    <w:rsid w:val="00D45052"/>
    <w:rsid w:val="00D4739A"/>
    <w:rsid w:val="00D5036B"/>
    <w:rsid w:val="00D53C81"/>
    <w:rsid w:val="00D64978"/>
    <w:rsid w:val="00D74208"/>
    <w:rsid w:val="00D75C05"/>
    <w:rsid w:val="00D761D3"/>
    <w:rsid w:val="00D77A60"/>
    <w:rsid w:val="00D803CC"/>
    <w:rsid w:val="00D80847"/>
    <w:rsid w:val="00D8116F"/>
    <w:rsid w:val="00D82611"/>
    <w:rsid w:val="00D85DF2"/>
    <w:rsid w:val="00D90B29"/>
    <w:rsid w:val="00D944B7"/>
    <w:rsid w:val="00D95559"/>
    <w:rsid w:val="00D95F67"/>
    <w:rsid w:val="00DA43CB"/>
    <w:rsid w:val="00DA5EE1"/>
    <w:rsid w:val="00DB0944"/>
    <w:rsid w:val="00DB0B7C"/>
    <w:rsid w:val="00DB2A05"/>
    <w:rsid w:val="00DB359C"/>
    <w:rsid w:val="00DB7D51"/>
    <w:rsid w:val="00DB7E70"/>
    <w:rsid w:val="00DC2C30"/>
    <w:rsid w:val="00DC3FB6"/>
    <w:rsid w:val="00DC411E"/>
    <w:rsid w:val="00DC47F9"/>
    <w:rsid w:val="00DC580B"/>
    <w:rsid w:val="00DD15E2"/>
    <w:rsid w:val="00DD16F9"/>
    <w:rsid w:val="00DD273A"/>
    <w:rsid w:val="00DD4A2D"/>
    <w:rsid w:val="00DD5324"/>
    <w:rsid w:val="00DE0C1B"/>
    <w:rsid w:val="00DE18FF"/>
    <w:rsid w:val="00DE2ADC"/>
    <w:rsid w:val="00DE33FE"/>
    <w:rsid w:val="00DF2666"/>
    <w:rsid w:val="00DF319D"/>
    <w:rsid w:val="00DF5DCE"/>
    <w:rsid w:val="00DF6196"/>
    <w:rsid w:val="00E120A9"/>
    <w:rsid w:val="00E23D01"/>
    <w:rsid w:val="00E334EC"/>
    <w:rsid w:val="00E34BBA"/>
    <w:rsid w:val="00E34C9A"/>
    <w:rsid w:val="00E41823"/>
    <w:rsid w:val="00E42C62"/>
    <w:rsid w:val="00E445A3"/>
    <w:rsid w:val="00E473EC"/>
    <w:rsid w:val="00E5114C"/>
    <w:rsid w:val="00E51790"/>
    <w:rsid w:val="00E5207A"/>
    <w:rsid w:val="00E52EBA"/>
    <w:rsid w:val="00E55B25"/>
    <w:rsid w:val="00E5637F"/>
    <w:rsid w:val="00E631B1"/>
    <w:rsid w:val="00E675A9"/>
    <w:rsid w:val="00E80106"/>
    <w:rsid w:val="00E84ABB"/>
    <w:rsid w:val="00E91C5C"/>
    <w:rsid w:val="00E91D41"/>
    <w:rsid w:val="00E93E77"/>
    <w:rsid w:val="00E974C6"/>
    <w:rsid w:val="00EA6D52"/>
    <w:rsid w:val="00EB0818"/>
    <w:rsid w:val="00EB371B"/>
    <w:rsid w:val="00EB49A8"/>
    <w:rsid w:val="00EB637D"/>
    <w:rsid w:val="00EC0888"/>
    <w:rsid w:val="00EC291A"/>
    <w:rsid w:val="00EC53D0"/>
    <w:rsid w:val="00EC6057"/>
    <w:rsid w:val="00EC6308"/>
    <w:rsid w:val="00EC6DF4"/>
    <w:rsid w:val="00EC74D1"/>
    <w:rsid w:val="00EC790D"/>
    <w:rsid w:val="00ED0E32"/>
    <w:rsid w:val="00ED2B3F"/>
    <w:rsid w:val="00ED4D82"/>
    <w:rsid w:val="00EE0A66"/>
    <w:rsid w:val="00EE4360"/>
    <w:rsid w:val="00EE7211"/>
    <w:rsid w:val="00EF0197"/>
    <w:rsid w:val="00EF0B36"/>
    <w:rsid w:val="00EF274F"/>
    <w:rsid w:val="00F05B38"/>
    <w:rsid w:val="00F1188D"/>
    <w:rsid w:val="00F15746"/>
    <w:rsid w:val="00F241F2"/>
    <w:rsid w:val="00F242DE"/>
    <w:rsid w:val="00F30F51"/>
    <w:rsid w:val="00F32222"/>
    <w:rsid w:val="00F34F51"/>
    <w:rsid w:val="00F46E30"/>
    <w:rsid w:val="00F51AA6"/>
    <w:rsid w:val="00F5212C"/>
    <w:rsid w:val="00F6269C"/>
    <w:rsid w:val="00F64CEA"/>
    <w:rsid w:val="00F657B5"/>
    <w:rsid w:val="00F6765A"/>
    <w:rsid w:val="00F67913"/>
    <w:rsid w:val="00F73A17"/>
    <w:rsid w:val="00F73D3F"/>
    <w:rsid w:val="00F73D8C"/>
    <w:rsid w:val="00F75A57"/>
    <w:rsid w:val="00F803BE"/>
    <w:rsid w:val="00F806F1"/>
    <w:rsid w:val="00F809C6"/>
    <w:rsid w:val="00F80A88"/>
    <w:rsid w:val="00F8138E"/>
    <w:rsid w:val="00F83B59"/>
    <w:rsid w:val="00F84DD9"/>
    <w:rsid w:val="00F86719"/>
    <w:rsid w:val="00F86827"/>
    <w:rsid w:val="00F877BC"/>
    <w:rsid w:val="00F91AB0"/>
    <w:rsid w:val="00F92EB6"/>
    <w:rsid w:val="00F97351"/>
    <w:rsid w:val="00FA3169"/>
    <w:rsid w:val="00FA5B71"/>
    <w:rsid w:val="00FB392D"/>
    <w:rsid w:val="00FB3BA6"/>
    <w:rsid w:val="00FC1F5B"/>
    <w:rsid w:val="00FD06DF"/>
    <w:rsid w:val="00FD0892"/>
    <w:rsid w:val="00FD16C3"/>
    <w:rsid w:val="00FE3E61"/>
    <w:rsid w:val="00FE587D"/>
    <w:rsid w:val="00FE65BB"/>
    <w:rsid w:val="00FE6AF2"/>
    <w:rsid w:val="00FE7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81B13"/>
  <w15:docId w15:val="{F999F8E2-FA89-425A-ADAC-2D817848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32"/>
    <w:pPr>
      <w:spacing w:before="120" w:after="120"/>
    </w:pPr>
    <w:rPr>
      <w:sz w:val="24"/>
    </w:rPr>
  </w:style>
  <w:style w:type="paragraph" w:styleId="Ttulo1">
    <w:name w:val="heading 1"/>
    <w:basedOn w:val="Normal"/>
    <w:next w:val="Normal"/>
    <w:link w:val="Ttulo1Char"/>
    <w:qFormat/>
    <w:rsid w:val="00CF2794"/>
    <w:pPr>
      <w:keepNext/>
      <w:widowControl w:val="0"/>
      <w:suppressAutoHyphens/>
      <w:jc w:val="both"/>
      <w:outlineLvl w:val="0"/>
    </w:pPr>
    <w:rPr>
      <w:b/>
      <w:bCs/>
      <w:caps/>
    </w:rPr>
  </w:style>
  <w:style w:type="paragraph" w:styleId="Ttulo2">
    <w:name w:val="heading 2"/>
    <w:basedOn w:val="Normal"/>
    <w:next w:val="Normal"/>
    <w:link w:val="Ttulo2Char"/>
    <w:qFormat/>
    <w:rsid w:val="00ED0E32"/>
    <w:pPr>
      <w:keepNext/>
      <w:outlineLvl w:val="1"/>
    </w:pPr>
    <w:rPr>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F2794"/>
    <w:rPr>
      <w:b/>
      <w:bCs/>
      <w:caps/>
      <w:sz w:val="24"/>
    </w:rPr>
  </w:style>
  <w:style w:type="character" w:customStyle="1" w:styleId="Ttulo2Char">
    <w:name w:val="Título 2 Char"/>
    <w:link w:val="Ttulo2"/>
    <w:rsid w:val="00ED0E32"/>
    <w:rPr>
      <w:rFonts w:eastAsia="Times New Roman"/>
      <w:bCs w:val="0"/>
      <w:color w:val="auto"/>
      <w:szCs w:val="20"/>
      <w:lang w:eastAsia="pt-BR"/>
    </w:rPr>
  </w:style>
  <w:style w:type="paragraph" w:styleId="Cabealho">
    <w:name w:val="header"/>
    <w:basedOn w:val="Normal"/>
    <w:link w:val="CabealhoChar"/>
    <w:uiPriority w:val="99"/>
    <w:unhideWhenUsed/>
    <w:rsid w:val="000624C9"/>
    <w:pPr>
      <w:tabs>
        <w:tab w:val="center" w:pos="4252"/>
        <w:tab w:val="right" w:pos="8504"/>
      </w:tabs>
    </w:pPr>
  </w:style>
  <w:style w:type="character" w:customStyle="1" w:styleId="CabealhoChar">
    <w:name w:val="Cabeçalho Char"/>
    <w:link w:val="Cabealho"/>
    <w:uiPriority w:val="99"/>
    <w:rsid w:val="000624C9"/>
    <w:rPr>
      <w:sz w:val="24"/>
    </w:rPr>
  </w:style>
  <w:style w:type="paragraph" w:styleId="Rodap">
    <w:name w:val="footer"/>
    <w:basedOn w:val="Normal"/>
    <w:link w:val="RodapChar"/>
    <w:uiPriority w:val="99"/>
    <w:unhideWhenUsed/>
    <w:rsid w:val="000624C9"/>
    <w:pPr>
      <w:tabs>
        <w:tab w:val="center" w:pos="4252"/>
        <w:tab w:val="right" w:pos="8504"/>
      </w:tabs>
    </w:pPr>
  </w:style>
  <w:style w:type="character" w:customStyle="1" w:styleId="RodapChar">
    <w:name w:val="Rodapé Char"/>
    <w:link w:val="Rodap"/>
    <w:uiPriority w:val="99"/>
    <w:rsid w:val="000624C9"/>
    <w:rPr>
      <w:sz w:val="24"/>
    </w:rPr>
  </w:style>
  <w:style w:type="table" w:styleId="Tabelacomgrade">
    <w:name w:val="Table Grid"/>
    <w:basedOn w:val="Tabelanormal"/>
    <w:uiPriority w:val="39"/>
    <w:rsid w:val="00291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301EE"/>
    <w:pPr>
      <w:spacing w:before="0" w:after="0"/>
    </w:pPr>
    <w:rPr>
      <w:rFonts w:ascii="Tahoma" w:hAnsi="Tahoma"/>
      <w:sz w:val="16"/>
      <w:szCs w:val="16"/>
    </w:rPr>
  </w:style>
  <w:style w:type="character" w:customStyle="1" w:styleId="TextodebaloChar">
    <w:name w:val="Texto de balão Char"/>
    <w:link w:val="Textodebalo"/>
    <w:uiPriority w:val="99"/>
    <w:semiHidden/>
    <w:rsid w:val="007301EE"/>
    <w:rPr>
      <w:rFonts w:ascii="Tahoma" w:hAnsi="Tahoma" w:cs="Tahoma"/>
      <w:sz w:val="16"/>
      <w:szCs w:val="16"/>
    </w:rPr>
  </w:style>
  <w:style w:type="paragraph" w:customStyle="1" w:styleId="ListaColorida-nfase11">
    <w:name w:val="Lista Colorida - Ênfase 11"/>
    <w:basedOn w:val="Normal"/>
    <w:uiPriority w:val="34"/>
    <w:qFormat/>
    <w:rsid w:val="00067F74"/>
    <w:pPr>
      <w:ind w:left="720"/>
      <w:contextualSpacing/>
    </w:pPr>
  </w:style>
  <w:style w:type="paragraph" w:styleId="PargrafodaLista">
    <w:name w:val="List Paragraph"/>
    <w:basedOn w:val="Normal"/>
    <w:link w:val="PargrafodaListaChar"/>
    <w:uiPriority w:val="34"/>
    <w:qFormat/>
    <w:rsid w:val="009E25C9"/>
    <w:pPr>
      <w:ind w:left="720"/>
      <w:contextualSpacing/>
    </w:pPr>
  </w:style>
  <w:style w:type="paragraph" w:customStyle="1" w:styleId="Default">
    <w:name w:val="Default"/>
    <w:rsid w:val="007D28AE"/>
    <w:pPr>
      <w:autoSpaceDE w:val="0"/>
      <w:autoSpaceDN w:val="0"/>
      <w:adjustRightInd w:val="0"/>
    </w:pPr>
    <w:rPr>
      <w:color w:val="000000"/>
      <w:sz w:val="24"/>
      <w:szCs w:val="24"/>
    </w:rPr>
  </w:style>
  <w:style w:type="paragraph" w:styleId="NormalWeb">
    <w:name w:val="Normal (Web)"/>
    <w:basedOn w:val="Normal"/>
    <w:uiPriority w:val="99"/>
    <w:unhideWhenUsed/>
    <w:rsid w:val="006C1F26"/>
    <w:pPr>
      <w:spacing w:before="100" w:beforeAutospacing="1" w:after="100" w:afterAutospacing="1"/>
    </w:pPr>
    <w:rPr>
      <w:szCs w:val="24"/>
    </w:rPr>
  </w:style>
  <w:style w:type="character" w:styleId="Hyperlink">
    <w:name w:val="Hyperlink"/>
    <w:basedOn w:val="Fontepargpadro"/>
    <w:uiPriority w:val="99"/>
    <w:unhideWhenUsed/>
    <w:rsid w:val="00611A63"/>
    <w:rPr>
      <w:color w:val="0000FF" w:themeColor="hyperlink"/>
      <w:u w:val="single"/>
    </w:rPr>
  </w:style>
  <w:style w:type="character" w:customStyle="1" w:styleId="PargrafodaListaChar">
    <w:name w:val="Parágrafo da Lista Char"/>
    <w:link w:val="PargrafodaLista"/>
    <w:uiPriority w:val="34"/>
    <w:rsid w:val="00311BCE"/>
    <w:rPr>
      <w:sz w:val="24"/>
    </w:rPr>
  </w:style>
  <w:style w:type="paragraph" w:styleId="Textodecomentrio">
    <w:name w:val="annotation text"/>
    <w:basedOn w:val="Normal"/>
    <w:link w:val="TextodecomentrioChar1"/>
    <w:uiPriority w:val="99"/>
    <w:unhideWhenUsed/>
    <w:rsid w:val="00311BCE"/>
    <w:pPr>
      <w:spacing w:before="0" w:after="0"/>
    </w:pPr>
  </w:style>
  <w:style w:type="character" w:customStyle="1" w:styleId="TextodecomentrioChar">
    <w:name w:val="Texto de comentário Char"/>
    <w:basedOn w:val="Fontepargpadro"/>
    <w:uiPriority w:val="99"/>
    <w:rsid w:val="00311BCE"/>
  </w:style>
  <w:style w:type="character" w:customStyle="1" w:styleId="TextodecomentrioChar1">
    <w:name w:val="Texto de comentário Char1"/>
    <w:basedOn w:val="Fontepargpadro"/>
    <w:link w:val="Textodecomentrio"/>
    <w:uiPriority w:val="99"/>
    <w:locked/>
    <w:rsid w:val="00311BCE"/>
    <w:rPr>
      <w:sz w:val="24"/>
    </w:rPr>
  </w:style>
  <w:style w:type="paragraph" w:customStyle="1" w:styleId="Prembulo">
    <w:name w:val="#Preâmbulo"/>
    <w:basedOn w:val="Normal"/>
    <w:rsid w:val="00862D75"/>
    <w:pPr>
      <w:widowControl w:val="0"/>
      <w:suppressAutoHyphens/>
      <w:spacing w:before="0"/>
      <w:ind w:firstLine="1134"/>
      <w:jc w:val="both"/>
    </w:pPr>
  </w:style>
  <w:style w:type="paragraph" w:customStyle="1" w:styleId="paragrafo-2">
    <w:name w:val="paragrafo-2"/>
    <w:basedOn w:val="Normal"/>
    <w:rsid w:val="00862D75"/>
    <w:pPr>
      <w:spacing w:before="0"/>
      <w:ind w:firstLine="1134"/>
      <w:jc w:val="both"/>
    </w:pPr>
    <w:rPr>
      <w:szCs w:val="24"/>
    </w:rPr>
  </w:style>
  <w:style w:type="paragraph" w:customStyle="1" w:styleId="ato">
    <w:name w:val="ato"/>
    <w:basedOn w:val="Normal"/>
    <w:rsid w:val="00862D75"/>
    <w:pPr>
      <w:keepNext/>
      <w:spacing w:before="100" w:beforeAutospacing="1" w:after="150"/>
      <w:jc w:val="center"/>
    </w:pPr>
    <w:rPr>
      <w:rFonts w:eastAsiaTheme="minorEastAsia"/>
      <w:caps/>
      <w:szCs w:val="24"/>
    </w:rPr>
  </w:style>
  <w:style w:type="character" w:styleId="Forte">
    <w:name w:val="Strong"/>
    <w:basedOn w:val="Fontepargpadro"/>
    <w:uiPriority w:val="22"/>
    <w:qFormat/>
    <w:rsid w:val="00444937"/>
    <w:rPr>
      <w:b/>
      <w:bCs/>
    </w:rPr>
  </w:style>
  <w:style w:type="character" w:styleId="CitaoHTML">
    <w:name w:val="HTML Cite"/>
    <w:basedOn w:val="Fontepargpadro"/>
    <w:uiPriority w:val="99"/>
    <w:semiHidden/>
    <w:unhideWhenUsed/>
    <w:rsid w:val="00020AC8"/>
    <w:rPr>
      <w:i/>
      <w:iCs/>
    </w:rPr>
  </w:style>
  <w:style w:type="paragraph" w:customStyle="1" w:styleId="0PargrafoNormal-numerado">
    <w:name w:val="0 Parágrafo Normal - numerado"/>
    <w:basedOn w:val="Normal"/>
    <w:link w:val="0PargrafoNormal-numeradoChar"/>
    <w:qFormat/>
    <w:rsid w:val="00DC3FB6"/>
    <w:pPr>
      <w:tabs>
        <w:tab w:val="left" w:pos="1134"/>
      </w:tabs>
      <w:spacing w:before="0"/>
      <w:jc w:val="both"/>
    </w:pPr>
  </w:style>
  <w:style w:type="character" w:customStyle="1" w:styleId="0PargrafoNormal-numeradoChar">
    <w:name w:val="0 Parágrafo Normal - numerado Char"/>
    <w:basedOn w:val="Fontepargpadro"/>
    <w:link w:val="0PargrafoNormal-numerado"/>
    <w:rsid w:val="00DC3FB6"/>
    <w:rPr>
      <w:sz w:val="24"/>
    </w:rPr>
  </w:style>
  <w:style w:type="character" w:styleId="Refdecomentrio">
    <w:name w:val="annotation reference"/>
    <w:basedOn w:val="Fontepargpadro"/>
    <w:uiPriority w:val="99"/>
    <w:semiHidden/>
    <w:unhideWhenUsed/>
    <w:rsid w:val="002F0B47"/>
    <w:rPr>
      <w:sz w:val="16"/>
      <w:szCs w:val="16"/>
    </w:rPr>
  </w:style>
  <w:style w:type="paragraph" w:styleId="Assuntodocomentrio">
    <w:name w:val="annotation subject"/>
    <w:basedOn w:val="Textodecomentrio"/>
    <w:next w:val="Textodecomentrio"/>
    <w:link w:val="AssuntodocomentrioChar"/>
    <w:uiPriority w:val="99"/>
    <w:semiHidden/>
    <w:unhideWhenUsed/>
    <w:rsid w:val="002F0B47"/>
    <w:pPr>
      <w:spacing w:before="120" w:after="120"/>
    </w:pPr>
    <w:rPr>
      <w:b/>
      <w:bCs/>
      <w:sz w:val="20"/>
    </w:rPr>
  </w:style>
  <w:style w:type="character" w:customStyle="1" w:styleId="AssuntodocomentrioChar">
    <w:name w:val="Assunto do comentário Char"/>
    <w:basedOn w:val="TextodecomentrioChar1"/>
    <w:link w:val="Assuntodocomentrio"/>
    <w:uiPriority w:val="99"/>
    <w:semiHidden/>
    <w:rsid w:val="002F0B4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4207">
      <w:bodyDiv w:val="1"/>
      <w:marLeft w:val="0"/>
      <w:marRight w:val="0"/>
      <w:marTop w:val="0"/>
      <w:marBottom w:val="0"/>
      <w:divBdr>
        <w:top w:val="none" w:sz="0" w:space="0" w:color="auto"/>
        <w:left w:val="none" w:sz="0" w:space="0" w:color="auto"/>
        <w:bottom w:val="none" w:sz="0" w:space="0" w:color="auto"/>
        <w:right w:val="none" w:sz="0" w:space="0" w:color="auto"/>
      </w:divBdr>
    </w:div>
    <w:div w:id="447969820">
      <w:bodyDiv w:val="1"/>
      <w:marLeft w:val="0"/>
      <w:marRight w:val="0"/>
      <w:marTop w:val="0"/>
      <w:marBottom w:val="0"/>
      <w:divBdr>
        <w:top w:val="none" w:sz="0" w:space="0" w:color="auto"/>
        <w:left w:val="none" w:sz="0" w:space="0" w:color="auto"/>
        <w:bottom w:val="none" w:sz="0" w:space="0" w:color="auto"/>
        <w:right w:val="none" w:sz="0" w:space="0" w:color="auto"/>
      </w:divBdr>
    </w:div>
    <w:div w:id="579100247">
      <w:bodyDiv w:val="1"/>
      <w:marLeft w:val="0"/>
      <w:marRight w:val="0"/>
      <w:marTop w:val="0"/>
      <w:marBottom w:val="0"/>
      <w:divBdr>
        <w:top w:val="none" w:sz="0" w:space="0" w:color="auto"/>
        <w:left w:val="none" w:sz="0" w:space="0" w:color="auto"/>
        <w:bottom w:val="none" w:sz="0" w:space="0" w:color="auto"/>
        <w:right w:val="none" w:sz="0" w:space="0" w:color="auto"/>
      </w:divBdr>
    </w:div>
    <w:div w:id="631637093">
      <w:bodyDiv w:val="1"/>
      <w:marLeft w:val="0"/>
      <w:marRight w:val="0"/>
      <w:marTop w:val="0"/>
      <w:marBottom w:val="0"/>
      <w:divBdr>
        <w:top w:val="none" w:sz="0" w:space="0" w:color="auto"/>
        <w:left w:val="none" w:sz="0" w:space="0" w:color="auto"/>
        <w:bottom w:val="none" w:sz="0" w:space="0" w:color="auto"/>
        <w:right w:val="none" w:sz="0" w:space="0" w:color="auto"/>
      </w:divBdr>
    </w:div>
    <w:div w:id="636953071">
      <w:bodyDiv w:val="1"/>
      <w:marLeft w:val="0"/>
      <w:marRight w:val="0"/>
      <w:marTop w:val="0"/>
      <w:marBottom w:val="0"/>
      <w:divBdr>
        <w:top w:val="none" w:sz="0" w:space="0" w:color="auto"/>
        <w:left w:val="none" w:sz="0" w:space="0" w:color="auto"/>
        <w:bottom w:val="none" w:sz="0" w:space="0" w:color="auto"/>
        <w:right w:val="none" w:sz="0" w:space="0" w:color="auto"/>
      </w:divBdr>
    </w:div>
    <w:div w:id="791169982">
      <w:bodyDiv w:val="1"/>
      <w:marLeft w:val="0"/>
      <w:marRight w:val="0"/>
      <w:marTop w:val="0"/>
      <w:marBottom w:val="0"/>
      <w:divBdr>
        <w:top w:val="none" w:sz="0" w:space="0" w:color="auto"/>
        <w:left w:val="none" w:sz="0" w:space="0" w:color="auto"/>
        <w:bottom w:val="none" w:sz="0" w:space="0" w:color="auto"/>
        <w:right w:val="none" w:sz="0" w:space="0" w:color="auto"/>
      </w:divBdr>
      <w:divsChild>
        <w:div w:id="717583983">
          <w:marLeft w:val="-225"/>
          <w:marRight w:val="-225"/>
          <w:marTop w:val="0"/>
          <w:marBottom w:val="0"/>
          <w:divBdr>
            <w:top w:val="none" w:sz="0" w:space="0" w:color="auto"/>
            <w:left w:val="none" w:sz="0" w:space="0" w:color="auto"/>
            <w:bottom w:val="none" w:sz="0" w:space="0" w:color="auto"/>
            <w:right w:val="none" w:sz="0" w:space="0" w:color="auto"/>
          </w:divBdr>
          <w:divsChild>
            <w:div w:id="1156871851">
              <w:marLeft w:val="0"/>
              <w:marRight w:val="0"/>
              <w:marTop w:val="0"/>
              <w:marBottom w:val="0"/>
              <w:divBdr>
                <w:top w:val="none" w:sz="0" w:space="0" w:color="auto"/>
                <w:left w:val="none" w:sz="0" w:space="0" w:color="auto"/>
                <w:bottom w:val="none" w:sz="0" w:space="0" w:color="auto"/>
                <w:right w:val="none" w:sz="0" w:space="0" w:color="auto"/>
              </w:divBdr>
            </w:div>
          </w:divsChild>
        </w:div>
        <w:div w:id="1616205017">
          <w:marLeft w:val="-225"/>
          <w:marRight w:val="-225"/>
          <w:marTop w:val="0"/>
          <w:marBottom w:val="0"/>
          <w:divBdr>
            <w:top w:val="none" w:sz="0" w:space="0" w:color="auto"/>
            <w:left w:val="none" w:sz="0" w:space="0" w:color="auto"/>
            <w:bottom w:val="none" w:sz="0" w:space="0" w:color="auto"/>
            <w:right w:val="none" w:sz="0" w:space="0" w:color="auto"/>
          </w:divBdr>
          <w:divsChild>
            <w:div w:id="934169203">
              <w:marLeft w:val="0"/>
              <w:marRight w:val="0"/>
              <w:marTop w:val="0"/>
              <w:marBottom w:val="0"/>
              <w:divBdr>
                <w:top w:val="none" w:sz="0" w:space="0" w:color="auto"/>
                <w:left w:val="none" w:sz="0" w:space="0" w:color="auto"/>
                <w:bottom w:val="none" w:sz="0" w:space="0" w:color="auto"/>
                <w:right w:val="none" w:sz="0" w:space="0" w:color="auto"/>
              </w:divBdr>
            </w:div>
            <w:div w:id="14783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245">
      <w:bodyDiv w:val="1"/>
      <w:marLeft w:val="0"/>
      <w:marRight w:val="0"/>
      <w:marTop w:val="0"/>
      <w:marBottom w:val="0"/>
      <w:divBdr>
        <w:top w:val="none" w:sz="0" w:space="0" w:color="auto"/>
        <w:left w:val="none" w:sz="0" w:space="0" w:color="auto"/>
        <w:bottom w:val="none" w:sz="0" w:space="0" w:color="auto"/>
        <w:right w:val="none" w:sz="0" w:space="0" w:color="auto"/>
      </w:divBdr>
    </w:div>
    <w:div w:id="853962998">
      <w:bodyDiv w:val="1"/>
      <w:marLeft w:val="0"/>
      <w:marRight w:val="0"/>
      <w:marTop w:val="0"/>
      <w:marBottom w:val="0"/>
      <w:divBdr>
        <w:top w:val="none" w:sz="0" w:space="0" w:color="auto"/>
        <w:left w:val="none" w:sz="0" w:space="0" w:color="auto"/>
        <w:bottom w:val="none" w:sz="0" w:space="0" w:color="auto"/>
        <w:right w:val="none" w:sz="0" w:space="0" w:color="auto"/>
      </w:divBdr>
    </w:div>
    <w:div w:id="925188600">
      <w:bodyDiv w:val="1"/>
      <w:marLeft w:val="0"/>
      <w:marRight w:val="0"/>
      <w:marTop w:val="0"/>
      <w:marBottom w:val="0"/>
      <w:divBdr>
        <w:top w:val="none" w:sz="0" w:space="0" w:color="auto"/>
        <w:left w:val="none" w:sz="0" w:space="0" w:color="auto"/>
        <w:bottom w:val="none" w:sz="0" w:space="0" w:color="auto"/>
        <w:right w:val="none" w:sz="0" w:space="0" w:color="auto"/>
      </w:divBdr>
    </w:div>
    <w:div w:id="971397725">
      <w:bodyDiv w:val="1"/>
      <w:marLeft w:val="0"/>
      <w:marRight w:val="0"/>
      <w:marTop w:val="0"/>
      <w:marBottom w:val="0"/>
      <w:divBdr>
        <w:top w:val="none" w:sz="0" w:space="0" w:color="auto"/>
        <w:left w:val="none" w:sz="0" w:space="0" w:color="auto"/>
        <w:bottom w:val="none" w:sz="0" w:space="0" w:color="auto"/>
        <w:right w:val="none" w:sz="0" w:space="0" w:color="auto"/>
      </w:divBdr>
      <w:divsChild>
        <w:div w:id="1512991172">
          <w:marLeft w:val="360"/>
          <w:marRight w:val="0"/>
          <w:marTop w:val="0"/>
          <w:marBottom w:val="0"/>
          <w:divBdr>
            <w:top w:val="none" w:sz="0" w:space="0" w:color="auto"/>
            <w:left w:val="none" w:sz="0" w:space="0" w:color="auto"/>
            <w:bottom w:val="none" w:sz="0" w:space="0" w:color="auto"/>
            <w:right w:val="none" w:sz="0" w:space="0" w:color="auto"/>
          </w:divBdr>
        </w:div>
        <w:div w:id="852108021">
          <w:marLeft w:val="360"/>
          <w:marRight w:val="0"/>
          <w:marTop w:val="0"/>
          <w:marBottom w:val="0"/>
          <w:divBdr>
            <w:top w:val="none" w:sz="0" w:space="0" w:color="auto"/>
            <w:left w:val="none" w:sz="0" w:space="0" w:color="auto"/>
            <w:bottom w:val="none" w:sz="0" w:space="0" w:color="auto"/>
            <w:right w:val="none" w:sz="0" w:space="0" w:color="auto"/>
          </w:divBdr>
        </w:div>
        <w:div w:id="1663973381">
          <w:marLeft w:val="360"/>
          <w:marRight w:val="0"/>
          <w:marTop w:val="0"/>
          <w:marBottom w:val="0"/>
          <w:divBdr>
            <w:top w:val="none" w:sz="0" w:space="0" w:color="auto"/>
            <w:left w:val="none" w:sz="0" w:space="0" w:color="auto"/>
            <w:bottom w:val="none" w:sz="0" w:space="0" w:color="auto"/>
            <w:right w:val="none" w:sz="0" w:space="0" w:color="auto"/>
          </w:divBdr>
        </w:div>
        <w:div w:id="939030077">
          <w:marLeft w:val="360"/>
          <w:marRight w:val="0"/>
          <w:marTop w:val="0"/>
          <w:marBottom w:val="0"/>
          <w:divBdr>
            <w:top w:val="none" w:sz="0" w:space="0" w:color="auto"/>
            <w:left w:val="none" w:sz="0" w:space="0" w:color="auto"/>
            <w:bottom w:val="none" w:sz="0" w:space="0" w:color="auto"/>
            <w:right w:val="none" w:sz="0" w:space="0" w:color="auto"/>
          </w:divBdr>
        </w:div>
      </w:divsChild>
    </w:div>
    <w:div w:id="1089734918">
      <w:bodyDiv w:val="1"/>
      <w:marLeft w:val="0"/>
      <w:marRight w:val="0"/>
      <w:marTop w:val="0"/>
      <w:marBottom w:val="0"/>
      <w:divBdr>
        <w:top w:val="none" w:sz="0" w:space="0" w:color="auto"/>
        <w:left w:val="none" w:sz="0" w:space="0" w:color="auto"/>
        <w:bottom w:val="none" w:sz="0" w:space="0" w:color="auto"/>
        <w:right w:val="none" w:sz="0" w:space="0" w:color="auto"/>
      </w:divBdr>
    </w:div>
    <w:div w:id="1136874063">
      <w:bodyDiv w:val="1"/>
      <w:marLeft w:val="0"/>
      <w:marRight w:val="0"/>
      <w:marTop w:val="0"/>
      <w:marBottom w:val="0"/>
      <w:divBdr>
        <w:top w:val="none" w:sz="0" w:space="0" w:color="auto"/>
        <w:left w:val="none" w:sz="0" w:space="0" w:color="auto"/>
        <w:bottom w:val="none" w:sz="0" w:space="0" w:color="auto"/>
        <w:right w:val="none" w:sz="0" w:space="0" w:color="auto"/>
      </w:divBdr>
      <w:divsChild>
        <w:div w:id="223564731">
          <w:marLeft w:val="1771"/>
          <w:marRight w:val="0"/>
          <w:marTop w:val="270"/>
          <w:marBottom w:val="180"/>
          <w:divBdr>
            <w:top w:val="none" w:sz="0" w:space="0" w:color="auto"/>
            <w:left w:val="none" w:sz="0" w:space="0" w:color="auto"/>
            <w:bottom w:val="none" w:sz="0" w:space="0" w:color="auto"/>
            <w:right w:val="none" w:sz="0" w:space="0" w:color="auto"/>
          </w:divBdr>
        </w:div>
      </w:divsChild>
    </w:div>
    <w:div w:id="1139305010">
      <w:bodyDiv w:val="1"/>
      <w:marLeft w:val="0"/>
      <w:marRight w:val="0"/>
      <w:marTop w:val="0"/>
      <w:marBottom w:val="0"/>
      <w:divBdr>
        <w:top w:val="none" w:sz="0" w:space="0" w:color="auto"/>
        <w:left w:val="none" w:sz="0" w:space="0" w:color="auto"/>
        <w:bottom w:val="none" w:sz="0" w:space="0" w:color="auto"/>
        <w:right w:val="none" w:sz="0" w:space="0" w:color="auto"/>
      </w:divBdr>
      <w:divsChild>
        <w:div w:id="1149589969">
          <w:marLeft w:val="45"/>
          <w:marRight w:val="45"/>
          <w:marTop w:val="15"/>
          <w:marBottom w:val="0"/>
          <w:divBdr>
            <w:top w:val="none" w:sz="0" w:space="0" w:color="auto"/>
            <w:left w:val="none" w:sz="0" w:space="0" w:color="auto"/>
            <w:bottom w:val="none" w:sz="0" w:space="0" w:color="auto"/>
            <w:right w:val="none" w:sz="0" w:space="0" w:color="auto"/>
          </w:divBdr>
          <w:divsChild>
            <w:div w:id="581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516">
      <w:bodyDiv w:val="1"/>
      <w:marLeft w:val="0"/>
      <w:marRight w:val="0"/>
      <w:marTop w:val="0"/>
      <w:marBottom w:val="0"/>
      <w:divBdr>
        <w:top w:val="none" w:sz="0" w:space="0" w:color="auto"/>
        <w:left w:val="none" w:sz="0" w:space="0" w:color="auto"/>
        <w:bottom w:val="none" w:sz="0" w:space="0" w:color="auto"/>
        <w:right w:val="none" w:sz="0" w:space="0" w:color="auto"/>
      </w:divBdr>
    </w:div>
    <w:div w:id="1314718735">
      <w:bodyDiv w:val="1"/>
      <w:marLeft w:val="0"/>
      <w:marRight w:val="0"/>
      <w:marTop w:val="0"/>
      <w:marBottom w:val="0"/>
      <w:divBdr>
        <w:top w:val="none" w:sz="0" w:space="0" w:color="auto"/>
        <w:left w:val="none" w:sz="0" w:space="0" w:color="auto"/>
        <w:bottom w:val="none" w:sz="0" w:space="0" w:color="auto"/>
        <w:right w:val="none" w:sz="0" w:space="0" w:color="auto"/>
      </w:divBdr>
    </w:div>
    <w:div w:id="1553154926">
      <w:bodyDiv w:val="1"/>
      <w:marLeft w:val="0"/>
      <w:marRight w:val="0"/>
      <w:marTop w:val="0"/>
      <w:marBottom w:val="0"/>
      <w:divBdr>
        <w:top w:val="none" w:sz="0" w:space="0" w:color="auto"/>
        <w:left w:val="none" w:sz="0" w:space="0" w:color="auto"/>
        <w:bottom w:val="none" w:sz="0" w:space="0" w:color="auto"/>
        <w:right w:val="none" w:sz="0" w:space="0" w:color="auto"/>
      </w:divBdr>
    </w:div>
    <w:div w:id="1600797263">
      <w:bodyDiv w:val="1"/>
      <w:marLeft w:val="0"/>
      <w:marRight w:val="0"/>
      <w:marTop w:val="0"/>
      <w:marBottom w:val="0"/>
      <w:divBdr>
        <w:top w:val="none" w:sz="0" w:space="0" w:color="auto"/>
        <w:left w:val="none" w:sz="0" w:space="0" w:color="auto"/>
        <w:bottom w:val="none" w:sz="0" w:space="0" w:color="auto"/>
        <w:right w:val="none" w:sz="0" w:space="0" w:color="auto"/>
      </w:divBdr>
    </w:div>
    <w:div w:id="1627463882">
      <w:bodyDiv w:val="1"/>
      <w:marLeft w:val="0"/>
      <w:marRight w:val="0"/>
      <w:marTop w:val="0"/>
      <w:marBottom w:val="0"/>
      <w:divBdr>
        <w:top w:val="none" w:sz="0" w:space="0" w:color="auto"/>
        <w:left w:val="none" w:sz="0" w:space="0" w:color="auto"/>
        <w:bottom w:val="none" w:sz="0" w:space="0" w:color="auto"/>
        <w:right w:val="none" w:sz="0" w:space="0" w:color="auto"/>
      </w:divBdr>
      <w:divsChild>
        <w:div w:id="1014108100">
          <w:marLeft w:val="1771"/>
          <w:marRight w:val="0"/>
          <w:marTop w:val="270"/>
          <w:marBottom w:val="180"/>
          <w:divBdr>
            <w:top w:val="none" w:sz="0" w:space="0" w:color="auto"/>
            <w:left w:val="none" w:sz="0" w:space="0" w:color="auto"/>
            <w:bottom w:val="none" w:sz="0" w:space="0" w:color="auto"/>
            <w:right w:val="none" w:sz="0" w:space="0" w:color="auto"/>
          </w:divBdr>
        </w:div>
      </w:divsChild>
    </w:div>
    <w:div w:id="1667828604">
      <w:bodyDiv w:val="1"/>
      <w:marLeft w:val="0"/>
      <w:marRight w:val="0"/>
      <w:marTop w:val="0"/>
      <w:marBottom w:val="0"/>
      <w:divBdr>
        <w:top w:val="none" w:sz="0" w:space="0" w:color="auto"/>
        <w:left w:val="none" w:sz="0" w:space="0" w:color="auto"/>
        <w:bottom w:val="none" w:sz="0" w:space="0" w:color="auto"/>
        <w:right w:val="none" w:sz="0" w:space="0" w:color="auto"/>
      </w:divBdr>
    </w:div>
    <w:div w:id="1727145425">
      <w:bodyDiv w:val="1"/>
      <w:marLeft w:val="0"/>
      <w:marRight w:val="0"/>
      <w:marTop w:val="0"/>
      <w:marBottom w:val="0"/>
      <w:divBdr>
        <w:top w:val="none" w:sz="0" w:space="0" w:color="auto"/>
        <w:left w:val="none" w:sz="0" w:space="0" w:color="auto"/>
        <w:bottom w:val="none" w:sz="0" w:space="0" w:color="auto"/>
        <w:right w:val="none" w:sz="0" w:space="0" w:color="auto"/>
      </w:divBdr>
    </w:div>
    <w:div w:id="18179147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331">
          <w:marLeft w:val="-225"/>
          <w:marRight w:val="-225"/>
          <w:marTop w:val="0"/>
          <w:marBottom w:val="0"/>
          <w:divBdr>
            <w:top w:val="none" w:sz="0" w:space="0" w:color="auto"/>
            <w:left w:val="none" w:sz="0" w:space="0" w:color="auto"/>
            <w:bottom w:val="none" w:sz="0" w:space="0" w:color="auto"/>
            <w:right w:val="none" w:sz="0" w:space="0" w:color="auto"/>
          </w:divBdr>
          <w:divsChild>
            <w:div w:id="2001960924">
              <w:marLeft w:val="0"/>
              <w:marRight w:val="0"/>
              <w:marTop w:val="0"/>
              <w:marBottom w:val="0"/>
              <w:divBdr>
                <w:top w:val="none" w:sz="0" w:space="0" w:color="auto"/>
                <w:left w:val="none" w:sz="0" w:space="0" w:color="auto"/>
                <w:bottom w:val="none" w:sz="0" w:space="0" w:color="auto"/>
                <w:right w:val="none" w:sz="0" w:space="0" w:color="auto"/>
              </w:divBdr>
            </w:div>
          </w:divsChild>
        </w:div>
        <w:div w:id="799690497">
          <w:marLeft w:val="-225"/>
          <w:marRight w:val="-225"/>
          <w:marTop w:val="0"/>
          <w:marBottom w:val="0"/>
          <w:divBdr>
            <w:top w:val="none" w:sz="0" w:space="0" w:color="auto"/>
            <w:left w:val="none" w:sz="0" w:space="0" w:color="auto"/>
            <w:bottom w:val="none" w:sz="0" w:space="0" w:color="auto"/>
            <w:right w:val="none" w:sz="0" w:space="0" w:color="auto"/>
          </w:divBdr>
          <w:divsChild>
            <w:div w:id="986741042">
              <w:marLeft w:val="0"/>
              <w:marRight w:val="0"/>
              <w:marTop w:val="0"/>
              <w:marBottom w:val="0"/>
              <w:divBdr>
                <w:top w:val="none" w:sz="0" w:space="0" w:color="auto"/>
                <w:left w:val="none" w:sz="0" w:space="0" w:color="auto"/>
                <w:bottom w:val="none" w:sz="0" w:space="0" w:color="auto"/>
                <w:right w:val="none" w:sz="0" w:space="0" w:color="auto"/>
              </w:divBdr>
            </w:div>
            <w:div w:id="1696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781">
      <w:bodyDiv w:val="1"/>
      <w:marLeft w:val="0"/>
      <w:marRight w:val="0"/>
      <w:marTop w:val="0"/>
      <w:marBottom w:val="0"/>
      <w:divBdr>
        <w:top w:val="none" w:sz="0" w:space="0" w:color="auto"/>
        <w:left w:val="none" w:sz="0" w:space="0" w:color="auto"/>
        <w:bottom w:val="none" w:sz="0" w:space="0" w:color="auto"/>
        <w:right w:val="none" w:sz="0" w:space="0" w:color="auto"/>
      </w:divBdr>
      <w:divsChild>
        <w:div w:id="1273443081">
          <w:marLeft w:val="-225"/>
          <w:marRight w:val="-225"/>
          <w:marTop w:val="0"/>
          <w:marBottom w:val="0"/>
          <w:divBdr>
            <w:top w:val="none" w:sz="0" w:space="0" w:color="auto"/>
            <w:left w:val="none" w:sz="0" w:space="0" w:color="auto"/>
            <w:bottom w:val="none" w:sz="0" w:space="0" w:color="auto"/>
            <w:right w:val="none" w:sz="0" w:space="0" w:color="auto"/>
          </w:divBdr>
          <w:divsChild>
            <w:div w:id="2027826308">
              <w:marLeft w:val="0"/>
              <w:marRight w:val="0"/>
              <w:marTop w:val="0"/>
              <w:marBottom w:val="0"/>
              <w:divBdr>
                <w:top w:val="none" w:sz="0" w:space="0" w:color="auto"/>
                <w:left w:val="none" w:sz="0" w:space="0" w:color="auto"/>
                <w:bottom w:val="none" w:sz="0" w:space="0" w:color="auto"/>
                <w:right w:val="none" w:sz="0" w:space="0" w:color="auto"/>
              </w:divBdr>
            </w:div>
          </w:divsChild>
        </w:div>
        <w:div w:id="343553204">
          <w:marLeft w:val="-225"/>
          <w:marRight w:val="-225"/>
          <w:marTop w:val="0"/>
          <w:marBottom w:val="0"/>
          <w:divBdr>
            <w:top w:val="none" w:sz="0" w:space="0" w:color="auto"/>
            <w:left w:val="none" w:sz="0" w:space="0" w:color="auto"/>
            <w:bottom w:val="none" w:sz="0" w:space="0" w:color="auto"/>
            <w:right w:val="none" w:sz="0" w:space="0" w:color="auto"/>
          </w:divBdr>
          <w:divsChild>
            <w:div w:id="1954706572">
              <w:marLeft w:val="0"/>
              <w:marRight w:val="0"/>
              <w:marTop w:val="0"/>
              <w:marBottom w:val="0"/>
              <w:divBdr>
                <w:top w:val="none" w:sz="0" w:space="0" w:color="auto"/>
                <w:left w:val="none" w:sz="0" w:space="0" w:color="auto"/>
                <w:bottom w:val="none" w:sz="0" w:space="0" w:color="auto"/>
                <w:right w:val="none" w:sz="0" w:space="0" w:color="auto"/>
              </w:divBdr>
            </w:div>
            <w:div w:id="814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99F8-4938-452E-90DC-F6315694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3383</Words>
  <Characters>18272</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TCU</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paulodp</dc:creator>
  <cp:lastModifiedBy>Ana Lucia Epaminondas</cp:lastModifiedBy>
  <cp:revision>6</cp:revision>
  <cp:lastPrinted>2018-07-19T00:21:00Z</cp:lastPrinted>
  <dcterms:created xsi:type="dcterms:W3CDTF">2018-11-14T15:16:00Z</dcterms:created>
  <dcterms:modified xsi:type="dcterms:W3CDTF">2018-11-14T16:47:00Z</dcterms:modified>
</cp:coreProperties>
</file>